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Lojistik Protokolü - Teslimat ve Taşıma Şartları</w:t>
      </w:r>
    </w:p>
    <w:p>
      <w:pPr>
        <w:pStyle w:val="para1"/>
      </w:pPr>
      <w:r>
        <w:rPr>
          <w:rFonts w:ascii="Calibri" w:hAnsi="Calibri"/>
        </w:rPr>
        <w:t>1. Taraflar ve geçerlilik</w:t>
      </w:r>
    </w:p>
    <w:p>
      <w:r>
        <w:rPr>
          <w:rFonts w:ascii="Calibri" w:hAnsi="Calibri"/>
        </w:rPr>
        <w:t>Müşteri / teslim yeri: ____________________</w:t>
      </w:r>
    </w:p>
    <w:p>
      <w:r>
        <w:rPr>
          <w:rFonts w:ascii="Calibri" w:hAnsi="Calibri"/>
        </w:rPr>
        <w:t>Tedarikçi / sevk yeri: ____________________    Taşıyıcı (varsa): ____________________</w:t>
      </w:r>
    </w:p>
    <w:p>
      <w:r>
        <w:rPr>
          <w:rFonts w:ascii="Calibri" w:hAnsi="Calibri"/>
        </w:rPr>
        <w:t>Sipariş / sözleşme referansı: ____________________    Kapsanan parçalar / ek liste: ____________________</w:t>
      </w:r>
    </w:p>
    <w:p>
      <w:r>
        <w:rPr>
          <w:rFonts w:ascii="Calibri" w:hAnsi="Calibri"/>
        </w:rPr>
        <w:t>Bu şablon, tarafların yetkili kişilerince koşulları tamamlanıp onaylandığında uygulanır. İmzalı ana sözleşme ve onaylı müşteri şartları esas alınır.</w:t>
      </w:r>
    </w:p>
    <w:p>
      <w:pPr>
        <w:pStyle w:val="para1"/>
      </w:pPr>
      <w:r>
        <w:rPr>
          <w:rFonts w:ascii="Calibri" w:hAnsi="Calibri"/>
        </w:rPr>
        <w:t>2. Mutabık kalınacak lojistik koşullar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160"/>
        <w:gridCol w:w="3932"/>
      </w:tblGrid>
      <w:tr>
        <w:trPr>
          <w:tblHeader/>
          <w:cantSplit/>
        </w:trPr>
        <w:tc>
          <w:tcPr>
            <w:tcW w:type="dxa" w:w="616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Konu</w:t>
            </w:r>
          </w:p>
        </w:tc>
        <w:tc>
          <w:tcPr>
            <w:tcW w:type="dxa" w:w="39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Şart / onaylı referans</w:t>
            </w:r>
          </w:p>
        </w:tc>
      </w:tr>
      <w:tr>
        <w:trPr>
          <w:cantSplit/>
        </w:trPr>
        <w:tc>
          <w:tcPr>
            <w:tcW w:type="dxa" w:w="616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Teslim şekli / Incoterms sürümü ve adlandırılmış yer</w:t>
            </w:r>
          </w:p>
        </w:tc>
        <w:tc>
          <w:tcPr>
            <w:tcW w:type="dxa" w:w="39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616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Çağrı yöntemi / kesinleşme ve değişiklik kuralları</w:t>
            </w:r>
          </w:p>
        </w:tc>
        <w:tc>
          <w:tcPr>
            <w:tcW w:type="dxa" w:w="39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616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Sevk/teslim zaman penceresi ve transit süre</w:t>
            </w:r>
          </w:p>
        </w:tc>
        <w:tc>
          <w:tcPr>
            <w:tcW w:type="dxa" w:w="39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616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Ambalaj kodu / revizyonu, miktar ve boş ambalaj dönüşü</w:t>
            </w:r>
          </w:p>
        </w:tc>
        <w:tc>
          <w:tcPr>
            <w:tcW w:type="dxa" w:w="39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616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Etiket ve ASN formatı / zamanlaması / teyit</w:t>
            </w:r>
          </w:p>
        </w:tc>
        <w:tc>
          <w:tcPr>
            <w:tcW w:type="dxa" w:w="39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616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Araç, yük sabitleme ve sevk evrakı</w:t>
            </w:r>
          </w:p>
        </w:tc>
        <w:tc>
          <w:tcPr>
            <w:tcW w:type="dxa" w:w="39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616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Acil iletişim / yetkili yedekler / bildirim süresi</w:t>
            </w:r>
          </w:p>
        </w:tc>
        <w:tc>
          <w:tcPr>
            <w:tcW w:type="dxa" w:w="39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para1"/>
      </w:pPr>
      <w:r>
        <w:rPr>
          <w:rFonts w:ascii="Calibri" w:hAnsi="Calibri"/>
        </w:rPr>
        <w:t>3. Sorumluluklar</w:t>
      </w:r>
    </w:p>
    <w:p>
      <w:r>
        <w:rPr>
          <w:rFonts w:ascii="Calibri" w:hAnsi="Calibri"/>
        </w:rPr>
        <w:t>Tedarikçi geçerli çağrıyı, doğru parça/lot/miktarı, onaylı ambalaj ve etiketi doğrular; sevk evraklarını hazırlar. Taşıyıcı, sözleşmedeki araç ve yük güvenliği şartlarını sağlar; görünür hasar/eksikliği teslim anında kayıt altına alır.</w:t>
      </w:r>
    </w:p>
    <w:p>
      <w:r>
        <w:rPr>
          <w:rFonts w:ascii="Calibri" w:hAnsi="Calibri"/>
        </w:rPr>
        <w:t>Teslim alma ve teslim etme kaydında tarih/saat, miktar, ilgili sevk numarası ve varsa hasar/çekince gösterilir. Aktarma ve boş ambalaj hareketlerinde kimlik ve mülkiyet korunur.</w:t>
      </w:r>
    </w:p>
    <w:p>
      <w:pPr>
        <w:pStyle w:val="para1"/>
      </w:pPr>
      <w:r>
        <w:rPr>
          <w:rFonts w:ascii="Calibri" w:hAnsi="Calibri"/>
        </w:rPr>
        <w:t>4. Sapma ve acil durum</w:t>
      </w:r>
    </w:p>
    <w:p>
      <w:r>
        <w:rPr>
          <w:rFonts w:ascii="Calibri" w:hAnsi="Calibri"/>
        </w:rPr>
        <w:t>Gecikme, eksik miktar, hasar veya ASN/etiket hatasında etkilenen parçalar, sevkiyat ve tahmini teslimat durumu sorumlu tarafa bildirilir. Yazılı aksiyon ve güncelleme planı izlenir.</w:t>
      </w:r>
    </w:p>
    <w:p>
      <w:r>
        <w:rPr>
          <w:rFonts w:ascii="Calibri" w:hAnsi="Calibri"/>
        </w:rPr>
        <w:t>Alternatif ambalaj, rota, taşıma veya şartlı kabul ancak ilgili yetkili onaylarıyla uygulanır. Ek taşıma maliyeti ve zararların sorumluluğu imzalı sözleşme ve yetkili maliyet onayına göre belirlenir.</w:t>
      </w:r>
    </w:p>
    <w:p>
      <w:pPr>
        <w:pStyle w:val="para1"/>
      </w:pPr>
      <w:r>
        <w:rPr>
          <w:rFonts w:ascii="Calibri" w:hAnsi="Calibri"/>
        </w:rPr>
        <w:t>5. Performans ve onay</w:t>
      </w:r>
    </w:p>
    <w:p>
      <w:r>
        <w:rPr>
          <w:rFonts w:ascii="Calibri" w:hAnsi="Calibri"/>
        </w:rPr>
        <w:t>Teslimatın zamanında/eksiksiz tanımı, ölçüm penceresi, veri kaynağı ve hedefi tarafların onaylı koşullarında belirlenir. Sapmalar ve tekrarlar ilgili düzeltici faaliyet süreciyle izlenir.</w:t>
      </w:r>
    </w:p>
    <w:p>
      <w:r>
        <w:rPr>
          <w:rFonts w:ascii="Calibri" w:hAnsi="Calibri"/>
        </w:rPr>
        <w:t>Müşteri yetkilisi / tarih / onay: ____________________</w:t>
      </w:r>
    </w:p>
    <w:p>
      <w:r>
        <w:rPr>
          <w:rFonts w:ascii="Calibri" w:hAnsi="Calibri"/>
        </w:rPr>
        <w:t>Tedarikçi yetkilisi / tarih / onay: ____________________    Taşıyıcı yetkilisi (gerekiyorsa): ____________________</w:t>
      </w:r>
    </w:p>
    <w:sectPr>
      <w:headerReference w:type="even" r:id="rIdEKGKimlik"/>
      <w:headerReference w:type="first" r:id="rIdEKGKimlik"/>
      <w:headerReference w:type="default" r:id="rId8"/>
      <w:footerReference w:type="default" r:id="rId9"/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EKG-LOJ-PRT-01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EKG-LOJ-PRT-01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8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2318944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  <w:pPr>
      <w:spacing w:after="100" w:line="252" w:lineRule="auto"/>
    </w:pPr>
    <w:rPr>
      <w:rFonts w:ascii="Calibri" w:hAnsi="Calibri"/>
      <w:sz w:val="21"/>
    </w:rPr>
  </w:style>
  <w:style w:type="paragraph" w:styleId="para1">
    <w:name w:val="heading 1"/>
    <w:qFormat/>
    <w:basedOn w:val="para0"/>
    <w:next w:val="para0"/>
    <w:pPr>
      <w:spacing w:before="180" w:after="80"/>
      <w:keepNext/>
      <w:outlineLvl w:val="0"/>
      <w:keepLines/>
    </w:pPr>
    <w:rPr>
      <w:rFonts w:ascii="Calibri" w:hAnsi="Calibri" w:cs="Arial"/>
      <w:b/>
      <w:bCs/>
      <w:color w:val="18364A"/>
      <w:sz w:val="24"/>
      <w:szCs w:val="36"/>
    </w:rPr>
    <w:key w:val="1073"/>
  </w:style>
  <w:style w:type="paragraph" w:styleId="para2">
    <w:name w:val="heading 2"/>
    <w:qFormat/>
    <w:basedOn w:val="para1"/>
    <w:next w:val="para0"/>
    <w:pPr>
      <w:keepNext/>
      <w:spacing w:before="180" w:after="80"/>
      <w:outlineLvl w:val="1"/>
    </w:pPr>
    <w:rPr>
      <w:rFonts w:ascii="Calibri" w:hAnsi="Calibri"/>
      <w:b/>
      <w:color w:val="18364A"/>
      <w:sz w:val="22"/>
      <w:szCs w:val="32"/>
    </w:rPr>
    <w:key w:val="1074"/>
  </w:style>
  <w:style w:type="paragraph" w:styleId="para3">
    <w:name w:val="heading 3"/>
    <w:qFormat/>
    <w:basedOn w:val="para2"/>
    <w:next w:val="para0"/>
    <w:pPr>
      <w:keepNext/>
      <w:spacing w:before="180" w:after="80"/>
      <w:outlineLvl w:val="2"/>
    </w:pPr>
    <w:rPr>
      <w:rFonts w:ascii="Calibri" w:hAnsi="Calibri"/>
      <w:b/>
      <w:color w:val="18364A"/>
      <w:sz w:val="21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Lojistik Protokolü - Teslimat ve Taşıma Şartları</dc:title>
  <dc:subject>EKG-LOJ-PRT-01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</cp:coreProperties>
</file>