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Depolama ve İç Taşıma Standart İş Talimatı</w:t>
      </w:r>
    </w:p>
    <w:p>
      <w:pPr>
        <w:pStyle w:val="para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Hammadde, yarı mamul, bitmiş cam ve ambalajların depolanması ve tesis içi taşınmasını kapsar. Depo ve hat besleme personeli tanımlı güzergâh ve ekipmanları kullanır; yalnızca yetkili kişiler taşıma ekipmanı kullanır.</w:t>
      </w:r>
    </w:p>
    <w:p>
      <w:pPr>
        <w:pStyle w:val="para1"/>
      </w:pPr>
      <w:r>
        <w:rPr>
          <w:rFonts w:ascii="Calibri" w:hAnsi="Calibri"/>
        </w:rPr>
        <w:t>2. Kimlik ve stok sırası</w:t>
      </w:r>
    </w:p>
    <w:p>
      <w:r>
        <w:rPr>
          <w:rFonts w:ascii="Calibri" w:hAnsi="Calibri"/>
        </w:rPr>
        <w:t>Parça/lot, miktar, konum ve kalite statüsü okunur biçimde korunur. FIFO uygulanır; raf ömürlü malzemelerde uygun lotlar arasında FEFO önceliklidir. Akışlı raflarda tanımlı yükleme ve çekme yönleri korunur.</w:t>
      </w:r>
    </w:p>
    <w:p>
      <w:r>
        <w:rPr>
          <w:rFonts w:ascii="Calibri" w:hAnsi="Calibri"/>
        </w:rPr>
        <w:t>Hareket öncesi parça/lot ve hedef iş emri doğrulanır. Sistem otomatik kontrol sağlamıyorsa eşdeğer kayıtlı manuel kontrol uygulanır; kesintide EKG-LOJ-TLM-01 kullanılır. Karantina veya kimliği belirsiz malzeme hatta verilmez.</w:t>
      </w:r>
    </w:p>
    <w:p>
      <w:pPr>
        <w:pStyle w:val="para1"/>
      </w:pPr>
      <w:r>
        <w:rPr>
          <w:rFonts w:ascii="Calibri" w:hAnsi="Calibri"/>
        </w:rPr>
        <w:t>3. Saklama ve raf ömrü</w:t>
      </w:r>
    </w:p>
    <w:p>
      <w:r>
        <w:rPr>
          <w:rFonts w:ascii="Calibri" w:hAnsi="Calibri"/>
        </w:rPr>
        <w:t>Malzemeler üretici ve müşteri şartlarındaki sıcaklık, nem, kapalı ambalaj ve raf ömrü koşullarında saklanır. Sınırlar ve kontrol sıklığı ilgili malzeme/depo planında belirtilir; kaynağı bilinmeyen sayısal sınır kullanılmaz. Açılmış malzemede açılış tarihi ve varsa kullanım süresi izlenir.</w:t>
      </w:r>
    </w:p>
    <w:p>
      <w:r>
        <w:rPr>
          <w:rFonts w:ascii="Calibri" w:hAnsi="Calibri"/>
        </w:rPr>
        <w:t>Ortam ölçümleri EKG-LOJ-MTR-02 içinde kaydedilir. Limit sapmasında etkilenen dönem ve malzemeler belirlenir, kalite değerlendirmesine kadar bloke edilir. Zemin/duvar teması ve kirlenme, tesis yerleşimi ve malzeme saklama şartlarına göre önlenir.</w:t>
      </w:r>
    </w:p>
    <w:p>
      <w:pPr>
        <w:pStyle w:val="para1"/>
      </w:pPr>
      <w:r>
        <w:rPr>
          <w:rFonts w:ascii="Calibri" w:hAnsi="Calibri"/>
        </w:rPr>
        <w:t>4. Güvenli taşıma ve istif</w:t>
      </w:r>
    </w:p>
    <w:p>
      <w:r>
        <w:rPr>
          <w:rFonts w:ascii="Calibri" w:hAnsi="Calibri"/>
        </w:rPr>
        <w:t>Taşıma öncesi sehpa/kasa bütünlüğü, kilitler, sabitleme ve ayırıcılar kontrol edilir. Camlar birbirine veya sert yüzeylere temas ederek çizilmeyecek/kırılmayacak şekilde taşınır. Hasarlı veya eksik ayırıcılı ambalaj kullanılmaz.</w:t>
      </w:r>
    </w:p>
    <w:p>
      <w:r>
        <w:rPr>
          <w:rFonts w:ascii="Calibri" w:hAnsi="Calibri"/>
        </w:rPr>
        <w:t>Yük, ekipman kapasitesini ve onaylı ambalaj/raf istif sınırını aşmaz. Sehpa ayakları ve kilitler tam oturtulur. Tesis trafik planındaki hız ve yaya ayrımı uygulanır; görüş, zemin ve yük durumuna göre güvenli hız seçilir. Güvensiz güzergahta taşıma durdurulur.</w:t>
      </w:r>
    </w:p>
    <w:p>
      <w:pPr>
        <w:pStyle w:val="para1"/>
      </w:pPr>
      <w:r>
        <w:rPr>
          <w:rFonts w:ascii="Calibri" w:hAnsi="Calibri"/>
        </w:rPr>
        <w:t>5. Uygunsuzluk</w:t>
      </w:r>
    </w:p>
    <w:p>
      <w:r>
        <w:rPr>
          <w:rFonts w:ascii="Calibri" w:hAnsi="Calibri"/>
        </w:rPr>
        <w:t>Kırılma, devrilme, nem bariyeri hasarı veya çevre limiti sapmasında ilgili işlem güvenli biçimde durdurulur. Ürün ve alan izole edilir; cam kırığı uygun yöntemle temizlenir. Parça/lot, miktar, olay ve son uygun kontrol kaydedilerek depo sorumlusu ve kaliteye bildirilir.</w:t>
      </w:r>
    </w:p>
    <w:p>
      <w:r>
        <w:rPr>
          <w:rFonts w:ascii="Calibri" w:hAnsi="Calibri"/>
        </w:rPr>
        <w:t>Tekrar kullanım, yeniden işleme, iade veya hurda kararı yetkili değerlendirmeyle verilir. Ürün uygunluğu ve güvenli taşıma koşulları yeniden doğrulanmadan işlem başlatılmaz.</w:t>
      </w:r>
    </w:p>
    <w:sectPr>
      <w:headerReference w:type="even" r:id="rIdEKGKimlik"/>
      <w:headerReference w:type="first" r:id="rIdEKGKimlik"/>
      <w:headerReference w:type="default" r:id="rId8"/>
      <w:footerReference w:type="default" r:id="rId9"/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a2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EKG-LOJ-TLM-02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EKG-LOJ-TLM-02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o" w:pos="below" w:numFmt="decimal"/>
    <w:caption w:name="Şekil" w:pos="below" w:numFmt="decimal"/>
    <w:caption w:name="Resi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31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2"/>
    <w:tmLastPosSelect w:val="0"/>
    <w:tmLastPosFrameIdx w:val="0"/>
    <w:tmLastPosCaret>
      <w:tmLastPosPgfIdx w:val="4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92319198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  <w:pPr>
      <w:spacing w:after="100" w:line="252" w:lineRule="auto"/>
    </w:pPr>
    <w:rPr>
      <w:rFonts w:ascii="Calibri" w:hAnsi="Calibri"/>
      <w:sz w:val="21"/>
    </w:rPr>
  </w:style>
  <w:style w:type="paragraph" w:styleId="para1">
    <w:name w:val="heading 1"/>
    <w:qFormat/>
    <w:basedOn w:val="para0"/>
    <w:next w:val="para0"/>
    <w:pPr>
      <w:spacing w:before="180" w:after="80"/>
      <w:keepNext/>
      <w:outlineLvl w:val="0"/>
      <w:keepLines/>
    </w:pPr>
    <w:rPr>
      <w:rFonts w:ascii="Calibri" w:hAnsi="Calibri" w:cs="Arial"/>
      <w:b/>
      <w:bCs/>
      <w:color w:val="18364A"/>
      <w:sz w:val="24"/>
      <w:szCs w:val="36"/>
    </w:rPr>
    <w:key w:val="1073"/>
  </w:style>
  <w:style w:type="paragraph" w:styleId="para2">
    <w:name w:val="heading 2"/>
    <w:qFormat/>
    <w:basedOn w:val="para1"/>
    <w:next w:val="para0"/>
    <w:pPr>
      <w:keepNext/>
      <w:spacing w:before="180" w:after="80"/>
      <w:outlineLvl w:val="1"/>
    </w:pPr>
    <w:rPr>
      <w:rFonts w:ascii="Calibri" w:hAnsi="Calibri"/>
      <w:b/>
      <w:color w:val="18364A"/>
      <w:sz w:val="22"/>
      <w:szCs w:val="32"/>
    </w:rPr>
    <w:key w:val="1074"/>
  </w:style>
  <w:style w:type="paragraph" w:styleId="para3">
    <w:name w:val="heading 3"/>
    <w:qFormat/>
    <w:basedOn w:val="para2"/>
    <w:next w:val="para0"/>
    <w:pPr>
      <w:keepNext/>
      <w:spacing w:before="180" w:after="80"/>
      <w:outlineLvl w:val="2"/>
    </w:pPr>
    <w:rPr>
      <w:rFonts w:ascii="Calibri" w:hAnsi="Calibri"/>
      <w:b/>
      <w:color w:val="18364A"/>
      <w:sz w:val="21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tr-t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o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EKGKimlik" Type="http://schemas.openxmlformats.org/officeDocument/2006/relationships/header" Target="headerEKGKimlik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Depolama ve İç Taşıma Standart İş Talimatı</dc:title>
  <dc:subject>EKG-LOJ-TLM-02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</cp:coreProperties>
</file>