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Müşteri Alarmı ve Sevkiyat Riski Yönetim Prosedürü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Tedarik, üretim, kalite, bilgi sistemi, ambalaj veya taşıma aksaklığının müşteri teslimatını etkileme riski olduğunda uygulanır. Riski gören kişi lojistik/planlama sorumlusuna bildirir. Lojistik risk kaydını ve müşteri iletişimini; ilgili süreç sahibi teknik aksiyonu; kalite ürün uygunluğunu yönetir.</w:t>
      </w:r>
    </w:p>
    <w:p>
      <w:pPr>
        <w:pStyle w:val="Heading1"/>
      </w:pPr>
      <w:r>
        <w:rPr>
          <w:rFonts w:ascii="Calibri" w:hAnsi="Calibri"/>
        </w:rPr>
        <w:t>2. Riskin belirlenmesi</w:t>
      </w:r>
    </w:p>
    <w:p>
      <w:r>
        <w:rPr>
          <w:rFonts w:ascii="Calibri" w:hAnsi="Calibri"/>
        </w:rPr>
        <w:t>Etkilenen parça/lot, çağrı ve sevkiyat, kullanılabilir stok, müşteri tüketimi biliniyorsa stok koruma süresi, eksik miktar, tahmini toparlanma ve teslim zamanı belirlenir. Kalite blokajlı stok kullanılabilir stok sayılmaz. Bilinmeyen bilgiler açıkça belirtilir; ilk bildirim kök neden kesinleşene kadar bekletilmez.</w:t>
      </w:r>
    </w:p>
    <w:p>
      <w:pPr>
        <w:pStyle w:val="Heading1"/>
      </w:pPr>
      <w:r>
        <w:rPr>
          <w:rFonts w:ascii="Calibri" w:hAnsi="Calibri"/>
        </w:rPr>
        <w:t>3. Alarm ve sahiplik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50"/>
        <w:gridCol w:w="4102"/>
        <w:gridCol w:w="4540"/>
      </w:tblGrid>
      <w:tr>
        <w:trPr>
          <w:tblHeader/>
          <w:cantSplit/>
        </w:trPr>
        <w:tc>
          <w:tcPr>
            <w:tcW w:type="dxa" w:w="14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Seviye</w:t>
            </w:r>
          </w:p>
        </w:tc>
        <w:tc>
          <w:tcPr>
            <w:tcW w:type="dxa" w:w="41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Tetikleyici</w:t>
            </w:r>
          </w:p>
        </w:tc>
        <w:tc>
          <w:tcPr>
            <w:tcW w:type="dxa" w:w="454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Sorumlu ve işlem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1 / İzleme</w:t>
            </w:r>
          </w:p>
        </w:tc>
        <w:tc>
          <w:tcPr>
            <w:tcW w:type="dxa" w:w="41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İç sapma var; onaylı teslimat planı mevcut kanıtlarla karşılanabiliyor.</w:t>
            </w:r>
          </w:p>
        </w:tc>
        <w:tc>
          <w:tcPr>
            <w:tcW w:type="dxa" w:w="454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Planlama/lojistik; sorumlu ve takip zamanı belirle.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2 / Risk</w:t>
            </w:r>
          </w:p>
        </w:tc>
        <w:tc>
          <w:tcPr>
            <w:tcW w:type="dxa" w:w="41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Teslimatın karşılanamaması olası veya yedek planın yeterliliği teyitsiz.</w:t>
            </w:r>
          </w:p>
        </w:tc>
        <w:tc>
          <w:tcPr>
            <w:tcW w:type="dxa" w:w="454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Lojistik sorumlusu; yönetimi ve müşteri şartındaki kontakları bilgilendir, kurtarma planı oluştur.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3 / Kritik</w:t>
            </w:r>
          </w:p>
        </w:tc>
        <w:tc>
          <w:tcPr>
            <w:tcW w:type="dxa" w:w="41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Teslimat kaçırılmış veya müşteri duruşu/çok yakın teslimat etkisi teyit edilmiş.</w:t>
            </w:r>
          </w:p>
        </w:tc>
        <w:tc>
          <w:tcPr>
            <w:tcW w:type="dxa" w:w="454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Kriz planındaki yetkili lider; derhal iç eskalasyon, müşteri iletişimi ve güncel kurtarma takibi.</w:t>
            </w:r>
          </w:p>
        </w:tc>
      </w:tr>
    </w:tbl>
    <w:p>
      <w:pPr>
        <w:pStyle w:val="Heading1"/>
      </w:pPr>
      <w:r>
        <w:rPr>
          <w:rFonts w:ascii="Calibri" w:hAnsi="Calibri"/>
        </w:rPr>
        <w:t>4. Bildirim ve kurtarma</w:t>
      </w:r>
    </w:p>
    <w:p>
      <w:r>
        <w:rPr>
          <w:rFonts w:ascii="Calibri" w:hAnsi="Calibri"/>
        </w:rPr>
        <w:t>Müşteri iletişiminde parça, miktar, sevk/çağrı, mevcut durum, tahmini teslim, geçici çözüm ve sonraki güncelleme zamanı paylaşılır. Bildirim ve alınan yanıt tarih/saat ve kişiyle EKG-LOJ-FRM-08 içinde tutulur. Bildirim/güncelleme süresi müşteri şartına göre uygulanır.</w:t>
      </w:r>
    </w:p>
    <w:p>
      <w:r>
        <w:rPr>
          <w:rFonts w:ascii="Calibri" w:hAnsi="Calibri"/>
        </w:rPr>
        <w:t>Alternatif üretim, taşıma veya ambalaj; kapasite, ürün uygunluğu ve gerekli müşteri onayları değerlendirilerek devreye alınır. Diğer teslimatlara etkisi kontrol edilir. Uygunsuz ürün ancak uygulanabilir yazılı sapma izninin kapsamı ve geçerliliği içinde sevk edilebilir.</w:t>
      </w:r>
    </w:p>
    <w:p>
      <w:pPr>
        <w:pStyle w:val="Heading1"/>
      </w:pPr>
      <w:r>
        <w:rPr>
          <w:rFonts w:ascii="Calibri" w:hAnsi="Calibri"/>
        </w:rPr>
        <w:t>5. Kapanış</w:t>
      </w:r>
    </w:p>
    <w:p>
      <w:r>
        <w:rPr>
          <w:rFonts w:ascii="Calibri" w:hAnsi="Calibri"/>
        </w:rPr>
        <w:t>Fiili teslimat, eksik miktarın giderilmesi ve müşteriye son bilgilendirme kanıtı doğrulanır. Açık ürün uygunluğu ve teslimat riski kapanmadan alarm kapatılmaz. Tekrarı önleyen aksiyonun sorumlusu/termini kaydedilir; gerekli düzeltici faaliyet müşteri ve kuruluş kurallarına göre yürütülür.</w:t>
      </w:r>
    </w:p>
    <w:p>
      <w:r>
        <w:rPr>
          <w:rFonts w:ascii="Calibri" w:hAnsi="Calibri"/>
        </w:rPr>
        <w:t>Ek taşıma ve diğer maliyetler kayıt altına alınır; sorumluluk ve rücu imzalı sözleşme ve yetkili kararına göre değerlendirilir.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EKG-LOJ-PRS-05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EKG-LOJ-PRS-05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Müşteri Alarmı ve Sevkiyat Riski Yönetim Prosedürü</dc:title>
  <dc:subject>EKG-LOJ-PRS-05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