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Döngüsel Ambalaj Akış Yönetimi Prosedürü - Dolu Boş</w:t>
      </w:r>
    </w:p>
    <w:p>
      <w:pPr>
        <w:pStyle w:val="para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İade edilebilir kasalar, sehpalar ve ayırıcıların tedarikçi–tesis–müşteri döngüsünü kapsar. Lojistik hareket ve mutabakatı; üretim kullanım öncesi kontrolü; bakım onarımı; kalite ürün koruma uygunluğunu yönetir.</w:t>
      </w:r>
    </w:p>
    <w:p>
      <w:pPr>
        <w:pStyle w:val="para1"/>
      </w:pPr>
      <w:r>
        <w:rPr>
          <w:rFonts w:ascii="Calibri" w:hAnsi="Calibri"/>
        </w:rPr>
        <w:t>2. Hareket ve havuz takibi</w:t>
      </w:r>
    </w:p>
    <w:p>
      <w:r>
        <w:rPr>
          <w:rFonts w:ascii="Calibri" w:hAnsi="Calibri"/>
        </w:rPr>
        <w:t>Her giriş/çıkışta ambalaj kodu, miktar, tarih, gönderen/alıcı ve sevk belgesi kaydedilir. Fiziki durum; kullanılabilir boş, dolu, müşteride, transit ve karantina olarak ayrılır. Müşteri veya başka tarafa ait ambalajlar mülkiyet bilgisiyle izlenir.</w:t>
      </w:r>
    </w:p>
    <w:p>
      <w:r>
        <w:rPr>
          <w:rFonts w:ascii="Calibri" w:hAnsi="Calibri"/>
        </w:rPr>
        <w:t>EKG-LOJ-FRM-01 ile fiziksel sayım ve karşı taraf hareket kayıtları mutabık hale getirilir. Sayım farkları araştırılır; kayıtsız stok düzeltmesi yapılmaz. Kullanılabilir boş ambalaj, onaylı alt seviyeye yaklaştığında geri dönüş/tedarik planı başlatılır.</w:t>
      </w:r>
    </w:p>
    <w:p>
      <w:pPr>
        <w:pStyle w:val="para1"/>
      </w:pPr>
      <w:r>
        <w:rPr>
          <w:rFonts w:ascii="Calibri" w:hAnsi="Calibri"/>
        </w:rPr>
        <w:t>3. Kullanım öncesi kontrol</w:t>
      </w:r>
    </w:p>
    <w:p>
      <w:r>
        <w:rPr>
          <w:rFonts w:ascii="Calibri" w:hAnsi="Calibri"/>
        </w:rPr>
        <w:t>Boş ambalajda kırık/çatlak, kaynak ve kilitler, istif ayakları, ayırıcılar, temizlik ve kuruluk kontrol edilir. Eski sevkiyat etiketleri kaldırılır; kalıcı ambalaj kimliği ve gerekli güvenlik işaretleri korunur. Kabul/red kararında EKG-LOJ-MTR-01 ve onaylı ambalaj şartnamesi kullanılır.</w:t>
      </w:r>
    </w:p>
    <w:p>
      <w:pPr>
        <w:pStyle w:val="para1"/>
      </w:pPr>
      <w:r>
        <w:rPr>
          <w:rFonts w:ascii="Calibri" w:hAnsi="Calibri"/>
        </w:rPr>
        <w:t>4. Uygunsuz ambalaj</w:t>
      </w:r>
    </w:p>
    <w:p>
      <w:r>
        <w:rPr>
          <w:rFonts w:ascii="Calibri" w:hAnsi="Calibri"/>
        </w:rPr>
        <w:t>Hasarlı veya kirli ambalaj tanımlanıp kullanılabilir stoktan ayrılır. Kayıtta miktar, kusur ve işlem sorumlusu belirtilir. Temizlik/onarım sonrası tekrar kontrol sonucu kaydedilir; uygunluk doğrulanmadan hatta verilmez. Hurda veya mülkiyet değişikliği yetkili kararıyla kayıt altına alınır.</w:t>
      </w:r>
    </w:p>
    <w:p>
      <w:pPr>
        <w:pStyle w:val="para1"/>
      </w:pPr>
      <w:r>
        <w:rPr>
          <w:rFonts w:ascii="Calibri" w:hAnsi="Calibri"/>
        </w:rPr>
        <w:t>5. Havuz yetersizliği</w:t>
      </w:r>
    </w:p>
    <w:p>
      <w:r>
        <w:rPr>
          <w:rFonts w:ascii="Calibri" w:hAnsi="Calibri"/>
        </w:rPr>
        <w:t>Lojistik eksik miktarı, etkilenen parça/sevkiyatı ve geri dönüş tahminini belirler. Önceliklendirme ve acil dönüş planı yapılır. Alternatif ambalaj ancak EKG-LOJ-PRS-01 koşullarıyla devreye alınır; müşteri etkisi varsa EKG-LOJ-PRS-05 uygulanır.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224" w:right="1134" w:bottom="1008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EKG-LOJ-PRS-02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EKG-LOJ-PRS-02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21890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Döngüsel Ambalaj Akış Yönetimi Prosedürü - Dolu Boş</dc:title>
  <dc:subject>EKG-LOJ-PRS-02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