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Ambalaj Akış Yönetimi Prosedürü - Genel Akış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Ürünle temas eden ayırıcılar, kasalar, sehpalar ve sevkiyat ambalajlarının tedarik, kabul, depolama, kullanım ve kullanım sonrası yönetimini kapsar. Satın alma tedariki; depo hareketleri; üretim doğru kullanımı; kalite uygunsuzluk kararını yönetir.</w:t>
      </w:r>
    </w:p>
    <w:p>
      <w:pPr>
        <w:pStyle w:val="Heading1"/>
      </w:pPr>
      <w:r>
        <w:rPr>
          <w:rFonts w:ascii="Calibri" w:hAnsi="Calibri"/>
        </w:rPr>
        <w:t>2. Kabul</w:t>
      </w:r>
    </w:p>
    <w:p>
      <w:r>
        <w:rPr>
          <w:rFonts w:ascii="Calibri" w:hAnsi="Calibri"/>
        </w:rPr>
        <w:t>Ambalaj kodu/revizyonu, miktar, hasar, temizlik ve gerekli şartname özellikleri kontrol edilir. Uygunluğu henüz doğrulanmayan ambalaj kontrollü bekletilir. Uygunsuz olanlar kullanılabilir stoktan ayrılır; iade, onarım veya hurda kararı kaydedilir.</w:t>
      </w:r>
    </w:p>
    <w:p>
      <w:pPr>
        <w:pStyle w:val="Heading1"/>
      </w:pPr>
      <w:r>
        <w:rPr>
          <w:rFonts w:ascii="Calibri" w:hAnsi="Calibri"/>
        </w:rPr>
        <w:t>3. Depolama ve hat besleme</w:t>
      </w:r>
    </w:p>
    <w:p>
      <w:r>
        <w:rPr>
          <w:rFonts w:ascii="Calibri" w:hAnsi="Calibri"/>
        </w:rPr>
        <w:t>Ambalajlar tanımlı alanda, kirlenme, nem ve hasardan korunarak ve onaylı istif sınırında tutulur. FIFO uygulanır; raf ömrü tanımlı malzemelerde önce son kullanma tarihi yaklaşan uygun lot kullanılır (FEFO).</w:t>
      </w:r>
    </w:p>
    <w:p>
      <w:r>
        <w:rPr>
          <w:rFonts w:ascii="Calibri" w:hAnsi="Calibri"/>
        </w:rPr>
        <w:t>Üretim planına göre doğru ambalaj kodu/revizyonu ve yeterli miktar hatta verilir. Ambalaj ve ayırıcı uygunluğu kullanım öncesinde kontrol edilir. İade edilebilir ambalajların döngü kaydı EKG-LOJ-PRS-02 ile yönetilir.</w:t>
      </w:r>
    </w:p>
    <w:p>
      <w:pPr>
        <w:pStyle w:val="Heading1"/>
      </w:pPr>
      <w:r>
        <w:rPr>
          <w:rFonts w:ascii="Calibri" w:hAnsi="Calibri"/>
        </w:rPr>
        <w:t>4. Paketleme ve sevkiyat</w:t>
      </w:r>
    </w:p>
    <w:p>
      <w:r>
        <w:rPr>
          <w:rFonts w:ascii="Calibri" w:hAnsi="Calibri"/>
        </w:rPr>
        <w:t>Parça, lot, paket içi adet, ayırıcı ve yerleşim onaylı ambalaj şartnamesiyle eşleştirilir. Eski sevkiyat etiketleri kaldırılır; benzersiz güncel etiket okutularak ürün/ambalaj ve çeki listesi doğrulanır.</w:t>
      </w:r>
    </w:p>
    <w:p>
      <w:r>
        <w:rPr>
          <w:rFonts w:ascii="Calibri" w:hAnsi="Calibri"/>
        </w:rPr>
        <w:t>Yanlış veya hasarlı ambalajla sevkiyat yapılmaz. Alternatif ambalaj EKG-LOJ-PRS-01 koşullarına göre yetkili onayla kullanılır. Etiket hatasında EKG-LOJ-FRM-04, müşteri teslimat riskinde EKG-LOJ-PRS-05 uygulanır.</w:t>
      </w:r>
    </w:p>
    <w:p>
      <w:pPr>
        <w:pStyle w:val="Heading1"/>
      </w:pPr>
      <w:r>
        <w:rPr>
          <w:rFonts w:ascii="Calibri" w:hAnsi="Calibri"/>
        </w:rPr>
        <w:t>5. Atık ve kayıtlar</w:t>
      </w:r>
    </w:p>
    <w:p>
      <w:r>
        <w:rPr>
          <w:rFonts w:ascii="Calibri" w:hAnsi="Calibri"/>
        </w:rPr>
        <w:t>Yeniden kullanılacak, onarılacak ve atık ambalajlar ayrı tutulur. Atıklar tesisin onaylı ayırma planına ve uygulanabilir mevzuata göre yönetilir; ürün kimliği taşıyan geçersiz etiketlerin yeniden kullanımı engellenir. Kabul/uygunsuzluk, stok ve sevkiyat kayıtları ilgili sistem veya formlarda izlenir.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224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EKG-LOJ-PRS-03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EKG-LOJ-PRS-03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Ambalaj Akış Yönetimi Prosedürü - Genel Akış</dc:title>
  <dc:subject>EKG-LOJ-PRS-03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