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Title"/>
      </w:pPr>
      <w:r>
        <w:rPr>
          <w:rFonts w:ascii="Calibri" w:hAnsi="Calibri"/>
        </w:rPr>
        <w:t>Bozulmuş Mod, Sıra Koruma ve Acil Stok Yönetimi Talimatı</w:t>
      </w:r>
    </w:p>
    <w:p>
      <w:pPr>
        <w:pStyle w:val="para1"/>
      </w:pPr>
      <w:r>
        <w:rPr>
          <w:rFonts w:ascii="Calibri" w:hAnsi="Calibri"/>
        </w:rPr>
        <w:t>1. Devreye alma</w:t>
      </w:r>
    </w:p>
    <w:p>
      <w:r>
        <w:rPr>
          <w:rFonts w:ascii="Calibri" w:hAnsi="Calibri"/>
        </w:rPr>
        <w:t>ERP/WMS, terminal veya otomasyon kesintisinde lojistik sorumlusu kapsamı belirler; bilgi işlemi ve üretim planlamayı bilgilendirir. Manuel çalışma ancak parça, lot, miktar, sıra ve kalite statüsü korunabiliyorsa yetkili kararıyla başlatılır. Bu koşullar sağlanamıyorsa ilgili hareket/sevkiyat durdurulur.</w:t>
      </w:r>
    </w:p>
    <w:p>
      <w:pPr>
        <w:pStyle w:val="para1"/>
      </w:pPr>
      <w:r>
        <w:rPr>
          <w:rFonts w:ascii="Calibri" w:hAnsi="Calibri"/>
        </w:rPr>
        <w:t>2. Manuel kayıt</w:t>
      </w:r>
    </w:p>
    <w:p>
      <w:r>
        <w:rPr>
          <w:rFonts w:ascii="Calibri" w:hAnsi="Calibri"/>
        </w:rPr>
        <w:t>Her giriş, çıkış ve iç transfer için benzersiz hareket sıra numarası; tarih/saat, kaynak ve hedef konum, parça, lot, miktar, kalite statüsü ve uygulayan kaydedilir. Hareket kaydı ürün kimliğiyle birlikte tutulur. İptal ve düzeltmeler ilk kaydı görünür bırakarak yetkili tarafından yapılır.</w:t>
      </w:r>
    </w:p>
    <w:p>
      <w:pPr>
        <w:pStyle w:val="para1"/>
      </w:pPr>
      <w:r>
        <w:rPr>
          <w:rFonts w:ascii="Calibri" w:hAnsi="Calibri"/>
        </w:rPr>
        <w:t>3. Sıra ve stok koruma</w:t>
      </w:r>
    </w:p>
    <w:p>
      <w:r>
        <w:rPr>
          <w:rFonts w:ascii="Calibri" w:hAnsi="Calibri"/>
        </w:rPr>
        <w:t>Fiziki giriş tarihi ve raf ömrü üzerinden FIFO/FEFO korunur. Renk etiketi tek başına lot veya sıra kanıtı olarak kullanılmaz. Karantina, süresi dolmuş ve kimliği belirsiz stok kullanılabilir stoktan ayrılır. Sıralı teslimatta müşteri sıra kaydı ayrıca doğrulanır.</w:t>
      </w:r>
    </w:p>
    <w:p>
      <w:pPr>
        <w:pStyle w:val="para1"/>
      </w:pPr>
      <w:r>
        <w:rPr>
          <w:rFonts w:ascii="Calibri" w:hAnsi="Calibri"/>
        </w:rPr>
        <w:t>4. Sevkiyat</w:t>
      </w:r>
    </w:p>
    <w:p>
      <w:r>
        <w:rPr>
          <w:rFonts w:ascii="Calibri" w:hAnsi="Calibri"/>
        </w:rPr>
        <w:t>Çeki listesi, fiziksel parça/lot/miktar ve sevk etiketi bağımsız ikinci kişiyle kontrol edilir. Müşterinin kabul ettiği yedek ASN/iletişim yöntemi uygulanır; şartların sağlanmadığı sevkiyat yetkisiz serbest bırakılmaz. Teslimat riski EKG-LOJ-PRS-05 ile yönetilir.</w:t>
      </w:r>
    </w:p>
    <w:p>
      <w:pPr>
        <w:pStyle w:val="para1"/>
      </w:pPr>
      <w:r>
        <w:rPr>
          <w:rFonts w:ascii="Calibri" w:hAnsi="Calibri"/>
        </w:rPr>
        <w:t>5. Sisteme dönüş</w:t>
      </w:r>
    </w:p>
    <w:p>
      <w:r>
        <w:rPr>
          <w:rFonts w:ascii="Calibri" w:hAnsi="Calibri"/>
        </w:rPr>
        <w:t>Bilgi işlem teknik kurtarmayı; lojistik kayıt bütünlüğünü doğrular. Son güvenilir sistem hareketiyle manuel hareketler karşılaştırılır; her hareket tek kez ve gerçek işlem tarihi korunarak sisteme girilir. Mükerrer kayıt, sıra/lot ve stok farkları kapatılmadan normal işleyişe geçilmez. Mutabakat sonucu ve geçişi onaylayan kaydedilir.</w:t>
      </w:r>
    </w:p>
    <w:sectPr>
      <w:headerReference w:type="even" r:id="rIdEKGKimlik"/>
      <w:headerReference w:type="first" r:id="rIdEKGKimlik"/>
      <w:headerReference w:type="default" r:id="rId8"/>
      <w:footerReference w:type="default" r:id="rId9"/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224" w:right="1134" w:bottom="1008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a2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EKG-LOJ-TLM-01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EKG-LOJ-TLM-01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o" w:pos="below" w:numFmt="decimal"/>
    <w:caption w:name="Şekil" w:pos="below" w:numFmt="decimal"/>
    <w:caption w:name="Resi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92322315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  <w:pPr>
      <w:spacing w:after="100" w:line="252" w:lineRule="auto"/>
    </w:pPr>
    <w:rPr>
      <w:rFonts w:ascii="Calibri" w:hAnsi="Calibri"/>
      <w:color w:val="232D37"/>
      <w:sz w:val="21"/>
    </w:rPr>
  </w:style>
  <w:style w:type="paragraph" w:styleId="para1">
    <w:name w:val="heading 1"/>
    <w:qFormat/>
    <w:basedOn w:val="para0"/>
    <w:next w:val="para0"/>
    <w:pPr>
      <w:spacing w:before="180" w:after="80"/>
      <w:keepNext/>
      <w:outlineLvl w:val="0"/>
      <w:keepLines/>
    </w:pPr>
    <w:rPr>
      <w:rFonts w:ascii="Calibri" w:hAnsi="Calibri" w:cs="Arial"/>
      <w:b/>
      <w:bCs/>
      <w:color w:val="18364A"/>
      <w:sz w:val="24"/>
      <w:szCs w:val="36"/>
    </w:rPr>
    <w:key w:val="1073"/>
  </w:style>
  <w:style w:type="paragraph" w:styleId="para2">
    <w:name w:val="heading 2"/>
    <w:qFormat/>
    <w:basedOn w:val="para1"/>
    <w:next w:val="para0"/>
    <w:pPr>
      <w:keepNext/>
      <w:spacing w:before="180" w:after="80"/>
      <w:outlineLvl w:val="1"/>
    </w:pPr>
    <w:rPr>
      <w:rFonts w:ascii="Calibri" w:hAnsi="Calibri"/>
      <w:b/>
      <w:color w:val="18364A"/>
      <w:sz w:val="22"/>
      <w:szCs w:val="32"/>
    </w:rPr>
    <w:key w:val="1074"/>
  </w:style>
  <w:style w:type="paragraph" w:styleId="para3">
    <w:name w:val="heading 3"/>
    <w:qFormat/>
    <w:basedOn w:val="para2"/>
    <w:next w:val="para0"/>
    <w:pPr>
      <w:keepNext/>
      <w:spacing w:before="180" w:after="80"/>
      <w:outlineLvl w:val="2"/>
    </w:pPr>
    <w:rPr>
      <w:rFonts w:ascii="Calibri" w:hAnsi="Calibri"/>
      <w:b/>
      <w:color w:val="18364A"/>
      <w:sz w:val="21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keepNext/>
      <w:spacing w:before="180" w:after="80"/>
    </w:pPr>
    <w:rPr>
      <w:rFonts w:ascii="Calibri" w:hAnsi="Calibri"/>
      <w:b/>
      <w:color w:val="18364A"/>
      <w:sz w:val="32"/>
    </w:r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Relationship Id="rIdEKGKimlik" Type="http://schemas.openxmlformats.org/officeDocument/2006/relationships/header" Target="headerEKGKimlik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Bozulmuş Mod, Sıra Koruma ve Acil Stok Yönetimi Talimatı</dc:title>
  <dc:subject>EKG-LOJ-TLM-01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</cp:coreProperties>
</file>