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2DF9CE78" w14:textId="79FFF46B" w:rsidR="009049AC" w:rsidRDefault="009049AC" w:rsidP="00377686">
      <w:pPr>
        <w:spacing w:before="24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49AC">
        <w:rPr>
          <w:rFonts w:ascii="Times New Roman" w:hAnsi="Times New Roman" w:cs="Times New Roman"/>
          <w:sz w:val="24"/>
          <w:szCs w:val="24"/>
        </w:rPr>
        <w:t xml:space="preserve">Sức chịu tải trọng nén </w:t>
      </w:r>
      <w:r w:rsidRPr="009049A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c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u</w:t>
      </w:r>
      <w:r w:rsidRPr="009049AC">
        <w:rPr>
          <w:rFonts w:ascii="Times New Roman" w:hAnsi="Times New Roman" w:cs="Times New Roman"/>
          <w:sz w:val="24"/>
          <w:szCs w:val="24"/>
        </w:rPr>
        <w:t xml:space="preserve">,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9049AC">
        <w:rPr>
          <w:rFonts w:ascii="Times New Roman" w:hAnsi="Times New Roman" w:cs="Times New Roman"/>
          <w:sz w:val="24"/>
          <w:szCs w:val="24"/>
        </w:rPr>
        <w:t>í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bằng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kN</w:t>
      </w:r>
      <w:r w:rsidRPr="009049AC">
        <w:rPr>
          <w:rFonts w:ascii="Times New Roman" w:hAnsi="Times New Roman" w:cs="Times New Roman"/>
          <w:sz w:val="24"/>
          <w:szCs w:val="24"/>
        </w:rPr>
        <w:t xml:space="preserve">, </w:t>
      </w:r>
      <w:r w:rsidRPr="009049AC"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  <w:lang w:val="pl-PL"/>
        </w:rPr>
        <w:t>ủa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cọc</w:t>
      </w:r>
      <w:r w:rsidRPr="009049AC">
        <w:rPr>
          <w:rFonts w:ascii="Times New Roman" w:hAnsi="Times New Roman" w:cs="Times New Roman"/>
          <w:sz w:val="24"/>
          <w:szCs w:val="24"/>
        </w:rPr>
        <w:t xml:space="preserve"> đó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9049AC">
        <w:rPr>
          <w:rFonts w:ascii="Times New Roman" w:hAnsi="Times New Roman" w:cs="Times New Roman"/>
          <w:sz w:val="24"/>
          <w:szCs w:val="24"/>
        </w:rPr>
        <w:t>-é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049AC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9049AC">
        <w:rPr>
          <w:rFonts w:ascii="Times New Roman" w:hAnsi="Times New Roman" w:cs="Times New Roman"/>
          <w:sz w:val="24"/>
          <w:szCs w:val="24"/>
        </w:rPr>
        <w:t xml:space="preserve"> í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9049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49AC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đư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548A9" w:rsidRPr="000548A9">
        <w:rPr>
          <w:rFonts w:ascii="Times New Roman" w:hAnsi="Times New Roman" w:cs="Times New Roman"/>
          <w:sz w:val="24"/>
          <w:szCs w:val="24"/>
        </w:rPr>
        <w:t>á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548A9" w:rsidRPr="000548A9">
        <w:rPr>
          <w:rFonts w:ascii="Times New Roman" w:hAnsi="Times New Roman" w:cs="Times New Roman"/>
          <w:sz w:val="24"/>
          <w:szCs w:val="24"/>
        </w:rPr>
        <w:t>ô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548A9"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="000548A9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="000548A9" w:rsidRPr="000548A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0548A9" w14:paraId="6F95C1A1" w14:textId="77777777" w:rsidTr="00CA0337">
        <w:trPr>
          <w:trHeight w:val="510"/>
        </w:trPr>
        <w:tc>
          <w:tcPr>
            <w:tcW w:w="4633" w:type="pct"/>
          </w:tcPr>
          <w:p w14:paraId="241A4D6B" w14:textId="28E23631" w:rsidR="000548A9" w:rsidRDefault="00D22C2A" w:rsidP="007310E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×A=${varGammaC}×20×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2018B99F" w14:textId="45767931" w:rsidR="000548A9" w:rsidRDefault="000548A9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9D1BB1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7353ADD" w14:textId="5B1C0F7F" w:rsidR="000548A9" w:rsidRPr="009D1BB1" w:rsidRDefault="000548A9" w:rsidP="000548A9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0548A9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đó</w:t>
      </w:r>
      <w:r w:rsidRPr="000548A9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1</w:t>
      </w:r>
      <w:r w:rsidR="009D1BB1" w:rsidRPr="009D1BB1">
        <w:rPr>
          <w:rFonts w:ascii="Times New Roman" w:hAnsi="Times New Roman" w:cs="Times New Roman"/>
          <w:sz w:val="24"/>
          <w:szCs w:val="24"/>
        </w:rPr>
        <w:t>;</w:t>
      </w:r>
    </w:p>
    <w:p w14:paraId="60BF800A" w14:textId="2202CF99" w:rsidR="000548A9" w:rsidRPr="009D1BB1" w:rsidRDefault="000548A9" w:rsidP="000548A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>,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mọi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loại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đó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48A9">
        <w:rPr>
          <w:rFonts w:ascii="Times New Roman" w:hAnsi="Times New Roman" w:cs="Times New Roman"/>
          <w:sz w:val="24"/>
          <w:szCs w:val="24"/>
        </w:rPr>
        <w:t xml:space="preserve"> 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48A9">
        <w:rPr>
          <w:rFonts w:ascii="Times New Roman" w:hAnsi="Times New Roman" w:cs="Times New Roman"/>
          <w:sz w:val="24"/>
          <w:szCs w:val="24"/>
        </w:rPr>
        <w:t>ê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đá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48A9">
        <w:rPr>
          <w:rFonts w:ascii="Times New Roman" w:hAnsi="Times New Roman" w:cs="Times New Roman"/>
          <w:sz w:val="24"/>
          <w:szCs w:val="24"/>
        </w:rPr>
        <w:t xml:space="preserve">à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20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="009D1BB1" w:rsidRPr="009D1BB1">
        <w:rPr>
          <w:rFonts w:ascii="Times New Roman" w:hAnsi="Times New Roman" w:cs="Times New Roman"/>
          <w:sz w:val="24"/>
          <w:szCs w:val="24"/>
        </w:rPr>
        <w:t>;</w:t>
      </w:r>
    </w:p>
    <w:p w14:paraId="072C576B" w14:textId="6FE967FE" w:rsidR="000548A9" w:rsidRDefault="000548A9" w:rsidP="000548A9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C223F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0548A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CFF933" w14:textId="3A6A730D" w:rsidR="005C7AEA" w:rsidRPr="000F016F" w:rsidRDefault="005C7AEA" w:rsidP="005C7AEA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0C223F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6B97FF81" w14:textId="2B0CE774" w:rsidR="005C7AEA" w:rsidRPr="009049AC" w:rsidRDefault="005C7AEA" w:rsidP="005C7AEA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0C223F">
        <w:rPr>
          <w:rFonts w:ascii="Times New Roman" w:hAnsi="Times New Roman" w:cs="Times New Roman"/>
          <w:sz w:val="24"/>
          <w:szCs w:val="24"/>
          <w:lang w:val="en-US"/>
        </w:rPr>
        <w:t>${Rcu}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</w:p>
    <w:p w14:paraId="69117C07" w14:textId="77777777" w:rsidR="005C7AEA" w:rsidRPr="005C7AEA" w:rsidRDefault="005C7AEA" w:rsidP="000548A9">
      <w:pPr>
        <w:spacing w:after="0"/>
        <w:ind w:left="708" w:firstLine="708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sectPr w:rsidR="005C7AEA" w:rsidRPr="005C7AEA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3D690" w14:textId="77777777" w:rsidR="00D22C2A" w:rsidRDefault="00D22C2A" w:rsidP="003D06E2">
      <w:pPr>
        <w:spacing w:after="0" w:line="240" w:lineRule="auto"/>
      </w:pPr>
      <w:r>
        <w:separator/>
      </w:r>
    </w:p>
  </w:endnote>
  <w:endnote w:type="continuationSeparator" w:id="0">
    <w:p w14:paraId="598C55F3" w14:textId="77777777" w:rsidR="00D22C2A" w:rsidRDefault="00D22C2A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8E3F5" w14:textId="77777777" w:rsidR="00D22C2A" w:rsidRDefault="00D22C2A" w:rsidP="003D06E2">
      <w:pPr>
        <w:spacing w:after="0" w:line="240" w:lineRule="auto"/>
      </w:pPr>
      <w:r>
        <w:separator/>
      </w:r>
    </w:p>
  </w:footnote>
  <w:footnote w:type="continuationSeparator" w:id="0">
    <w:p w14:paraId="67952AF6" w14:textId="77777777" w:rsidR="00D22C2A" w:rsidRDefault="00D22C2A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9D21B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9D21B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9D21B3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64182C"/>
    <w:rsid w:val="0065319C"/>
    <w:rsid w:val="0065366F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1B3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7BA9"/>
    <w:rsid w:val="00D22C2A"/>
    <w:rsid w:val="00D23619"/>
    <w:rsid w:val="00D40862"/>
    <w:rsid w:val="00D40B87"/>
    <w:rsid w:val="00D76369"/>
    <w:rsid w:val="00D876DC"/>
    <w:rsid w:val="00D97AAE"/>
    <w:rsid w:val="00DA03DB"/>
    <w:rsid w:val="00DB0D74"/>
    <w:rsid w:val="00DB1797"/>
    <w:rsid w:val="00DD58D8"/>
    <w:rsid w:val="00DE77EE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73C6F4-B134-425B-AD45-1418979B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35</cp:revision>
  <cp:lastPrinted>2021-05-10T09:21:00Z</cp:lastPrinted>
  <dcterms:created xsi:type="dcterms:W3CDTF">2021-05-10T11:26:00Z</dcterms:created>
  <dcterms:modified xsi:type="dcterms:W3CDTF">2021-05-22T10:34:00Z</dcterms:modified>
</cp:coreProperties>
</file>