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color w:val="1B2232"/>
          <w:sz w:val="26"/>
          <w:szCs w:val="26"/>
          <w:b w:val="1"/>
          <w:bCs w:val="1"/>
        </w:rPr>
        <w:t xml:space="preserve">THUYẾT MINH TÍNH TOÁN</w:t>
      </w:r>
    </w:p>
    <w:p>
      <w:pPr/>
      <w:r>
        <w:rPr>
          <w:rFonts w:ascii="Tahoma" w:hAnsi="Tahoma" w:eastAsia="Tahoma" w:cs="Tahoma"/>
          <w:color w:val="1B2232"/>
          <w:sz w:val="26"/>
          <w:szCs w:val="26"/>
          <w:b w:val="1"/>
          <w:bCs w:val="1"/>
        </w:rPr>
        <w:t xml:space="preserve">Việc tính toán được thực hiện theo TCVN 10304-2014 mục 7.4.2. có tính đến sự điều chỉnh của hệ số β Số liệu ban đầu: N = 0.5MH, A = 0.283m2, l = 20m, E = 30000MPa, ν1 =0.35, ν2 =0.42, E1 = 18.2 MPa, E2 = 21.30 MPa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2021-05-06T09:53:09+02:00</dcterms:created>
  <dcterms:modified xsi:type="dcterms:W3CDTF">2021-05-06T09:53:09+02:00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