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  <w:ind w:left="300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(SPM-LS) untuk bulan Juli 2026 telah dihitung dengan benar berdasarkan dokumen pelaksanaan anggaran dan dokumen pendukung lainnya.</w:t>
      </w:r>
    </w:p>
    <w:p>
      <w:pPr>
        <w:pStyle w:val="ListNumber"/>
        <w:spacing w:after="120" w:before="0"/>
        <w:ind w:left="300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240" w:before="0"/>
        <w:ind w:left="300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300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ind w:left="3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3000"/>
        <w:jc w:val="left"/>
      </w:pPr>
      <w:r>
        <w:rPr>
          <w:rFonts w:ascii="Arial" w:hAnsi="Arial"/>
          <w:b/>
          <w:sz w:val="22"/>
        </w:rPr>
        <w:t>SYAHRYANTO, S.T.,M.Pd</w:t>
      </w:r>
    </w:p>
    <w:p>
      <w:pPr>
        <w:spacing w:after="60" w:before="0"/>
        <w:ind w:left="3000"/>
        <w:jc w:val="left"/>
      </w:pPr>
      <w:r>
        <w:rPr>
          <w:rFonts w:ascii="Arial" w:hAnsi="Arial"/>
          <w:b w:val="0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