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hvac-playbook-addendum-v2"/>
      <w:r>
        <w:t xml:space="preserve">HVAC Playbook — Addendum v2</w:t>
      </w:r>
      <w:bookmarkEnd w:id="20"/>
    </w:p>
    <w:p>
      <w:pPr>
        <w:pStyle w:val="FirstParagraph"/>
      </w:pPr>
      <w:r>
        <w:rPr>
          <w:b/>
        </w:rPr>
        <w:t xml:space="preserve">Date added:</w:t>
      </w:r>
      <w:r>
        <w:t xml:space="preserve"> </w:t>
      </w:r>
      <w:r>
        <w:t xml:space="preserve">2026-06-24</w:t>
      </w:r>
      <w:r>
        <w:t xml:space="preserve"> </w:t>
      </w:r>
      <w:r>
        <w:rPr>
          <w:b/>
        </w:rPr>
        <w:t xml:space="preserve">Reason:</w:t>
      </w:r>
      <w:r>
        <w:t xml:space="preserve"> </w:t>
      </w:r>
      <w:r>
        <w:t xml:space="preserve">Incorporating reviewer feedback. Updates supersede same-named sections in HVAC-PLAYBOOK.md.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b354b35141ec55836ed43233d7bd696741ace8b"/>
      <w:r>
        <w:t xml:space="preserve">§8.5 — Performance Pilot Pricing (REPLACES §8 setup fee waiver)</w:t>
      </w:r>
      <w:bookmarkEnd w:id="21"/>
    </w:p>
    <w:p>
      <w:pPr>
        <w:pStyle w:val="FirstParagraph"/>
      </w:pPr>
      <w:r>
        <w:rPr>
          <w:b/>
        </w:rPr>
        <w:t xml:space="preserve">Why this change:</w:t>
      </w:r>
      <w:r>
        <w:t xml:space="preserve"> </w:t>
      </w:r>
      <w:r>
        <w:t xml:space="preserve">“</w:t>
      </w:r>
      <w:r>
        <w:t xml:space="preserve">$1,500/month retainer + waived setup fee</w:t>
      </w:r>
      <w:r>
        <w:t xml:space="preserve">”</w:t>
      </w:r>
      <w:r>
        <w:t xml:space="preserve"> </w:t>
      </w:r>
      <w:r>
        <w:t xml:space="preserve">still triggers prospect’s</w:t>
      </w:r>
      <w:r>
        <w:t xml:space="preserve"> </w:t>
      </w:r>
      <w:r>
        <w:t xml:space="preserve">“</w:t>
      </w:r>
      <w:r>
        <w:t xml:space="preserve">what if it doesn’t work</w:t>
      </w:r>
      <w:r>
        <w:t xml:space="preserve">”</w:t>
      </w:r>
      <w:r>
        <w:t xml:space="preserve"> </w:t>
      </w:r>
      <w:r>
        <w:t xml:space="preserve">defense. Performance Pilot removes that defense entirely.</w:t>
      </w:r>
    </w:p>
    <w:p>
      <w:pPr>
        <w:pStyle w:val="Heading3"/>
      </w:pPr>
      <w:bookmarkStart w:id="22" w:name="new-offer-for-first-3-clients"/>
      <w:r>
        <w:t xml:space="preserve">New offer for first 3 clients:</w:t>
      </w:r>
      <w:bookmarkEnd w:id="22"/>
    </w:p>
    <w:p>
      <w:pPr>
        <w:pStyle w:val="BlockText"/>
      </w:pPr>
      <w:r>
        <w:t xml:space="preserve">“</w:t>
      </w:r>
      <w:r>
        <w:t xml:space="preserve">I’ll hook this up for 14 days completely free. You only cover the actual Twilio + OpenAI usage costs, which run about $20 total. If the bot books a real HVAC install OR a roof replacement that would have been missed because it came in after-hours — we flip to the standard $1,500/month contract from day 15. If it doesn’t, we walk away clean. Fair?</w:t>
      </w:r>
      <w:r>
        <w:t xml:space="preserve">”</w:t>
      </w:r>
    </w:p>
    <w:p>
      <w:pPr>
        <w:pStyle w:val="Heading3"/>
      </w:pPr>
      <w:bookmarkStart w:id="23" w:name="why-this-works"/>
      <w:r>
        <w:t xml:space="preserve">Why this works: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Zero perceived risk from prospect’s side</w:t>
      </w:r>
    </w:p>
    <w:p>
      <w:pPr>
        <w:numPr>
          <w:ilvl w:val="0"/>
          <w:numId w:val="1001"/>
        </w:numPr>
        <w:pStyle w:val="Compact"/>
      </w:pPr>
      <w:r>
        <w:t xml:space="preserve">Outcome-based proof (not</w:t>
      </w:r>
      <w:r>
        <w:t xml:space="preserve"> </w:t>
      </w:r>
      <w:r>
        <w:t xml:space="preserve">“</w:t>
      </w:r>
      <w:r>
        <w:t xml:space="preserve">trust me, it works</w:t>
      </w:r>
      <w:r>
        <w:t xml:space="preserve">”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Filters out brokers who don’t actually have inbound lead flow</w:t>
      </w:r>
    </w:p>
    <w:p>
      <w:pPr>
        <w:numPr>
          <w:ilvl w:val="0"/>
          <w:numId w:val="1001"/>
        </w:numPr>
        <w:pStyle w:val="Compact"/>
      </w:pPr>
      <w:r>
        <w:t xml:space="preserve">Converts the discovery call from</w:t>
      </w:r>
      <w:r>
        <w:t xml:space="preserve"> </w:t>
      </w:r>
      <w:r>
        <w:t xml:space="preserve">“</w:t>
      </w:r>
      <w:r>
        <w:t xml:space="preserve">sales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exploration</w:t>
      </w:r>
      <w:r>
        <w:t xml:space="preserve">”</w:t>
      </w:r>
    </w:p>
    <w:p>
      <w:pPr>
        <w:pStyle w:val="Heading3"/>
      </w:pPr>
      <w:bookmarkStart w:id="24" w:name="operational-requirements"/>
      <w:r>
        <w:t xml:space="preserve">Operational requirements: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Document the 14-day pilot terms in a 1-page agreement (NOT the full DPA — that comes when they flip to paid)</w:t>
      </w:r>
    </w:p>
    <w:p>
      <w:pPr>
        <w:numPr>
          <w:ilvl w:val="0"/>
          <w:numId w:val="1002"/>
        </w:numPr>
        <w:pStyle w:val="Compact"/>
      </w:pPr>
      <w:r>
        <w:t xml:space="preserve">Track in</w:t>
      </w:r>
      <w:r>
        <w:t xml:space="preserve"> </w:t>
      </w:r>
      <w:r>
        <w:rPr>
          <w:rStyle w:val="VerbatimChar"/>
        </w:rPr>
        <w:t xml:space="preserve">pilot_started_at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pilot_outcome</w:t>
      </w:r>
      <w:r>
        <w:t xml:space="preserve"> </w:t>
      </w:r>
      <w:r>
        <w:t xml:space="preserve">fields on broker config in Redis</w:t>
      </w:r>
    </w:p>
    <w:p>
      <w:pPr>
        <w:numPr>
          <w:ilvl w:val="0"/>
          <w:numId w:val="1002"/>
        </w:numPr>
        <w:pStyle w:val="Compact"/>
      </w:pPr>
      <w:r>
        <w:t xml:space="preserve">Day 14 calendar reminder to call broker for conversion decision</w:t>
      </w:r>
    </w:p>
    <w:p>
      <w:pPr>
        <w:pStyle w:val="Heading3"/>
      </w:pPr>
      <w:bookmarkStart w:id="25" w:name="pricing-tiers-after-pilot-unchanged"/>
      <w:r>
        <w:t xml:space="preserve">Pricing tiers AFTER pilot (unchanged):</w:t>
      </w:r>
      <w:bookmarkEnd w:id="25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Starter:</w:t>
      </w:r>
      <w:r>
        <w:t xml:space="preserve"> </w:t>
      </w:r>
      <w:r>
        <w:t xml:space="preserve">$1,500/mo — 200 leads/mo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Pro:</w:t>
      </w:r>
      <w:r>
        <w:t xml:space="preserve"> </w:t>
      </w:r>
      <w:r>
        <w:t xml:space="preserve">$2,500/mo — 500 leads/mo, custom prompts, weekly KPI report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Premium:</w:t>
      </w:r>
      <w:r>
        <w:t xml:space="preserve"> </w:t>
      </w:r>
      <w:r>
        <w:t xml:space="preserve">$3,500/mo — unlimited leads, Slack ops channel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56c0a9f86aabde1e32abcfc80d405946e24b967"/>
      <w:r>
        <w:t xml:space="preserve">§6.6 — Updated Consent Disclosure Language (REPLACES §6.6 / Phase C requirement)</w:t>
      </w:r>
      <w:bookmarkEnd w:id="26"/>
    </w:p>
    <w:p>
      <w:pPr>
        <w:pStyle w:val="FirstParagraph"/>
      </w:pPr>
      <w:r>
        <w:rPr>
          <w:b/>
        </w:rPr>
        <w:t xml:space="preserve">Why this change:</w:t>
      </w:r>
      <w:r>
        <w:t xml:space="preserve"> </w:t>
      </w:r>
      <w:r>
        <w:t xml:space="preserve">TCPA</w:t>
      </w:r>
      <w:r>
        <w:t xml:space="preserve"> </w:t>
      </w:r>
      <w:r>
        <w:t xml:space="preserve">“</w:t>
      </w:r>
      <w:r>
        <w:t xml:space="preserve">prior express written consent</w:t>
      </w:r>
      <w:r>
        <w:t xml:space="preserve">”</w:t>
      </w:r>
      <w:r>
        <w:t xml:space="preserve"> </w:t>
      </w:r>
      <w:r>
        <w:t xml:space="preserve">requires the disclosure to explicitly state</w:t>
      </w:r>
      <w:r>
        <w:t xml:space="preserve"> </w:t>
      </w:r>
      <w:r>
        <w:t xml:space="preserve">“</w:t>
      </w:r>
      <w:r>
        <w:t xml:space="preserve">Consent is not a condition of purchase.</w:t>
      </w:r>
      <w:r>
        <w:t xml:space="preserve">”</w:t>
      </w:r>
      <w:r>
        <w:t xml:space="preserve"> </w:t>
      </w:r>
      <w:r>
        <w:t xml:space="preserve">Without this exact phrase, the consent is NOT legally valid prior express written consent — and the very first SMS our bot sends becomes a TCPA violation.</w:t>
      </w:r>
    </w:p>
    <w:p>
      <w:pPr>
        <w:pStyle w:val="Heading3"/>
      </w:pPr>
      <w:bookmarkStart w:id="27" w:name="Xaa3260e2e053dd1e2497f8387805976c5a62b28"/>
      <w:r>
        <w:t xml:space="preserve">MANDATORY checkbox label on every broker’s lead form:</w:t>
      </w:r>
      <w:bookmarkEnd w:id="27"/>
    </w:p>
    <w:p>
      <w:pPr>
        <w:pStyle w:val="SourceCode"/>
      </w:pPr>
      <w:r>
        <w:rPr>
          <w:rStyle w:val="VerbatimChar"/>
        </w:rPr>
        <w:t xml:space="preserve">☐ I agree to receive SMS messages from [BROKER NAME] about my service </w:t>
      </w:r>
      <w:r>
        <w:br/>
      </w:r>
      <w:r>
        <w:rPr>
          <w:rStyle w:val="VerbatimChar"/>
        </w:rPr>
        <w:t xml:space="preserve">   inquiry. Consent is not a condition of purchase. Reply STOP to opt out. </w:t>
      </w:r>
      <w:r>
        <w:br/>
      </w:r>
      <w:r>
        <w:rPr>
          <w:rStyle w:val="VerbatimChar"/>
        </w:rPr>
        <w:t xml:space="preserve">   Msg &amp; data rates may apply.</w:t>
      </w:r>
    </w:p>
    <w:p>
      <w:pPr>
        <w:pStyle w:val="FirstParagraph"/>
      </w:pPr>
      <w:r>
        <w:rPr>
          <w:b/>
        </w:rPr>
        <w:t xml:space="preserve">Three non-negotiable elements:</w:t>
      </w:r>
      <w:r>
        <w:t xml:space="preserve"> </w:t>
      </w:r>
      <w:r>
        <w:t xml:space="preserve">1. Specific broker name (not</w:t>
      </w:r>
      <w:r>
        <w:t xml:space="preserve"> </w:t>
      </w:r>
      <w:r>
        <w:t xml:space="preserve">“</w:t>
      </w:r>
      <w:r>
        <w:t xml:space="preserve">us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the company</w:t>
      </w:r>
      <w:r>
        <w:t xml:space="preserve">”</w:t>
      </w:r>
      <w:r>
        <w:t xml:space="preserve">)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Consent is not a condition of purchase</w:t>
      </w:r>
      <w:r>
        <w:rPr>
          <w:b/>
        </w:rPr>
        <w:t xml:space="preserve">”</w:t>
      </w:r>
      <w:r>
        <w:t xml:space="preserve"> </w:t>
      </w:r>
      <w:r>
        <w:t xml:space="preserve">— verbatim</w:t>
      </w:r>
      <w:r>
        <w:t xml:space="preserve"> </w:t>
      </w:r>
      <w:r>
        <w:t xml:space="preserve">3. STOP keyword info + rate disclosure</w:t>
      </w:r>
    </w:p>
    <w:p>
      <w:pPr>
        <w:pStyle w:val="Heading3"/>
      </w:pPr>
      <w:bookmarkStart w:id="28" w:name="brokers-form-must-also"/>
      <w:r>
        <w:t xml:space="preserve">Broker’s form MUST also:</w:t>
      </w:r>
      <w:bookmarkEnd w:id="28"/>
    </w:p>
    <w:p>
      <w:pPr>
        <w:numPr>
          <w:ilvl w:val="0"/>
          <w:numId w:val="1004"/>
        </w:numPr>
        <w:pStyle w:val="Compact"/>
      </w:pPr>
      <w:r>
        <w:t xml:space="preserve">Default the checkbox to UNCHECKED (TCPA requires affirmative opt-in)</w:t>
      </w:r>
    </w:p>
    <w:p>
      <w:pPr>
        <w:numPr>
          <w:ilvl w:val="0"/>
          <w:numId w:val="1004"/>
        </w:numPr>
        <w:pStyle w:val="Compact"/>
      </w:pPr>
      <w:r>
        <w:t xml:space="preserve">Block submission if unchecked (no</w:t>
      </w:r>
      <w:r>
        <w:t xml:space="preserve"> </w:t>
      </w:r>
      <w:r>
        <w:t xml:space="preserve">“</w:t>
      </w:r>
      <w:r>
        <w:t xml:space="preserve">skip this step</w:t>
      </w:r>
      <w:r>
        <w:t xml:space="preserve">”</w:t>
      </w:r>
      <w:r>
        <w:t xml:space="preserve"> </w:t>
      </w:r>
      <w:r>
        <w:t xml:space="preserve">option)</w:t>
      </w:r>
    </w:p>
    <w:p>
      <w:pPr>
        <w:numPr>
          <w:ilvl w:val="0"/>
          <w:numId w:val="1004"/>
        </w:numPr>
        <w:pStyle w:val="Compact"/>
      </w:pPr>
      <w:r>
        <w:t xml:space="preserve">Send</w:t>
      </w:r>
      <w:r>
        <w:t xml:space="preserve"> </w:t>
      </w:r>
      <w:r>
        <w:rPr>
          <w:rStyle w:val="VerbatimChar"/>
        </w:rPr>
        <w:t xml:space="preserve">consent_checked: true</w:t>
      </w:r>
      <w:r>
        <w:t xml:space="preserve"> </w:t>
      </w:r>
      <w:r>
        <w:t xml:space="preserve">(boolean) in the POST body to</w:t>
      </w:r>
      <w:r>
        <w:t xml:space="preserve"> </w:t>
      </w:r>
      <w:r>
        <w:rPr>
          <w:rStyle w:val="VerbatimChar"/>
        </w:rPr>
        <w:t xml:space="preserve">/api/lead</w:t>
      </w:r>
    </w:p>
    <w:p>
      <w:pPr>
        <w:numPr>
          <w:ilvl w:val="0"/>
          <w:numId w:val="1004"/>
        </w:numPr>
        <w:pStyle w:val="Compact"/>
      </w:pPr>
      <w:r>
        <w:t xml:space="preserve">Send</w:t>
      </w:r>
      <w:r>
        <w:t xml:space="preserve"> </w:t>
      </w:r>
      <w:r>
        <w:rPr>
          <w:rStyle w:val="VerbatimChar"/>
        </w:rPr>
        <w:t xml:space="preserve">consent_text</w:t>
      </w:r>
      <w:r>
        <w:t xml:space="preserve"> </w:t>
      </w:r>
      <w:r>
        <w:t xml:space="preserve">(the exact label above) in the POST body</w:t>
      </w:r>
    </w:p>
    <w:p>
      <w:pPr>
        <w:pStyle w:val="Heading3"/>
      </w:pPr>
      <w:bookmarkStart w:id="29" w:name="bot-enforcement"/>
      <w:r>
        <w:t xml:space="preserve">Bot enforcement:</w:t>
      </w:r>
      <w:bookmarkEnd w:id="29"/>
    </w:p>
    <w:p>
      <w:pPr>
        <w:pStyle w:val="FirstParagraph"/>
      </w:pPr>
      <w:r>
        <w:rPr>
          <w:rStyle w:val="VerbatimChar"/>
        </w:rPr>
        <w:t xml:space="preserve">/api/lead</w:t>
      </w:r>
      <w:r>
        <w:t xml:space="preserve"> </w:t>
      </w:r>
      <w:r>
        <w:t xml:space="preserve">now rejects any submission where</w:t>
      </w:r>
      <w:r>
        <w:t xml:space="preserve"> </w:t>
      </w:r>
      <w:r>
        <w:rPr>
          <w:rStyle w:val="VerbatimChar"/>
        </w:rPr>
        <w:t xml:space="preserve">consent_checked !== true</w:t>
      </w:r>
      <w:r>
        <w:t xml:space="preserve">. This protects you against brokers who try to bypass the checkbox.</w:t>
      </w:r>
    </w:p>
    <w:p>
      <w:pPr>
        <w:pStyle w:val="Heading3"/>
      </w:pPr>
      <w:bookmarkStart w:id="30" w:name="dpa-addition"/>
      <w:r>
        <w:t xml:space="preserve">DPA addition:</w:t>
      </w:r>
      <w:bookmarkEnd w:id="30"/>
    </w:p>
    <w:p>
      <w:pPr>
        <w:pStyle w:val="FirstParagraph"/>
      </w:pPr>
      <w:r>
        <w:t xml:space="preserve">Add to broker’s DPA (new section 4.g):</w:t>
      </w:r>
      <w:r>
        <w:t xml:space="preserve"> </w:t>
      </w:r>
      <w:r>
        <w:t xml:space="preserve">&gt;</w:t>
      </w:r>
      <w:r>
        <w:t xml:space="preserve"> </w:t>
      </w:r>
      <w:r>
        <w:rPr>
          <w:b/>
        </w:rPr>
        <w:t xml:space="preserve">4.g. Consent Disclosure Language.</w:t>
      </w:r>
      <w:r>
        <w:t xml:space="preserve"> </w:t>
      </w:r>
      <w:r>
        <w:t xml:space="preserve">Broker warrants that Broker’s lead intake form requires consumers to affirmatively check a non-pre-checked box adjacent to the following disclosure (or substantially identical language):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I agree to receive SMS messages from [Broker Name] about my service inquiry. Consent is not a condition of purchase. Reply STOP to opt out. Msg &amp; data rates may apply.</w:t>
      </w:r>
      <w:r>
        <w:rPr>
          <w:i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&gt; Broker further warrants that Broker’s form will not submit the lead to Processor’s API without the consumer having affirmatively checked the consent box.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48960cb0b2daaafae8a37e708210129caae44f8"/>
      <w:r>
        <w:t xml:space="preserve">§A2P — Updated A2P 10DLC Strategy (REPLACES §5)</w:t>
      </w:r>
      <w:bookmarkEnd w:id="31"/>
    </w:p>
    <w:p>
      <w:pPr>
        <w:pStyle w:val="FirstParagraph"/>
      </w:pPr>
      <w:r>
        <w:rPr>
          <w:b/>
        </w:rPr>
        <w:t xml:space="preserve">Why this change:</w:t>
      </w:r>
      <w:r>
        <w:t xml:space="preserve"> </w:t>
      </w:r>
      <w:r>
        <w:t xml:space="preserve">You (Batur) are in Turkey with no US EIN. Sole Proprietor A2P 10DLC registration requires a US EIN tied to a US business entity. Running multiple brokers under YOUR master Twilio account also means: one dirty broker = all your brokers banned.</w:t>
      </w:r>
    </w:p>
    <w:p>
      <w:pPr>
        <w:pStyle w:val="Heading3"/>
      </w:pPr>
      <w:bookmarkStart w:id="32" w:name="Xce75d384219e32f1bbb37bbc8dd96e3cb62744f"/>
      <w:r>
        <w:t xml:space="preserve">New onboarding model: BROKER OWNS THEIR TWILIO ACCOUNT</w:t>
      </w:r>
      <w:bookmarkEnd w:id="32"/>
    </w:p>
    <w:p>
      <w:pPr>
        <w:pStyle w:val="FirstParagraph"/>
      </w:pPr>
      <w:r>
        <w:t xml:space="preserve">Each HVAC contractor must:</w:t>
      </w:r>
      <w:r>
        <w:t xml:space="preserve"> </w:t>
      </w:r>
      <w:r>
        <w:t xml:space="preserve">1. Sign up for their own Twilio account (using THEIR EIN)</w:t>
      </w:r>
      <w:r>
        <w:t xml:space="preserve"> </w:t>
      </w:r>
      <w:r>
        <w:t xml:space="preserve">2. Submit A2P 10DLC Sole Proprietor registration under THEIR business</w:t>
      </w:r>
      <w:r>
        <w:t xml:space="preserve"> </w:t>
      </w:r>
      <w:r>
        <w:t xml:space="preserve">3. Purchase a phone number in their Twilio account</w:t>
      </w:r>
      <w:r>
        <w:t xml:space="preserve"> </w:t>
      </w:r>
      <w:r>
        <w:t xml:space="preserve">4. Share with Iseri Agency:</w:t>
      </w:r>
      <w:r>
        <w:t xml:space="preserve"> </w:t>
      </w:r>
      <w:r>
        <w:rPr>
          <w:rStyle w:val="VerbatimChar"/>
        </w:rPr>
        <w:t xml:space="preserve">Account SID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 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 Number (E.164)</w:t>
      </w:r>
    </w:p>
    <w:p>
      <w:pPr>
        <w:pStyle w:val="BodyText"/>
      </w:pPr>
      <w:r>
        <w:t xml:space="preserve">Iseri Agency:</w:t>
      </w:r>
      <w:r>
        <w:t xml:space="preserve"> </w:t>
      </w:r>
      <w:r>
        <w:t xml:space="preserve">1. Stores broker’s Twilio credentials in Redis (encrypted at rest)</w:t>
      </w:r>
      <w:r>
        <w:t xml:space="preserve"> </w:t>
      </w:r>
      <w:r>
        <w:t xml:space="preserve">2. Configures broker’s webhook to point at</w:t>
      </w:r>
      <w:r>
        <w:t xml:space="preserve"> </w:t>
      </w:r>
      <w:r>
        <w:rPr>
          <w:rStyle w:val="VerbatimChar"/>
        </w:rPr>
        <w:t xml:space="preserve">https://lead-response-bot.vercel.app/api/sms-reply</w:t>
      </w:r>
      <w:r>
        <w:t xml:space="preserve"> </w:t>
      </w:r>
      <w:r>
        <w:t xml:space="preserve">3. Operates the bot — but every SMS goes through the BROKER’s Twilio account, not ours</w:t>
      </w:r>
    </w:p>
    <w:p>
      <w:pPr>
        <w:pStyle w:val="Heading3"/>
      </w:pPr>
      <w:bookmarkStart w:id="33" w:name="pros"/>
      <w:r>
        <w:t xml:space="preserve">Pros:</w:t>
      </w:r>
      <w:bookmarkEnd w:id="33"/>
    </w:p>
    <w:p>
      <w:pPr>
        <w:numPr>
          <w:ilvl w:val="0"/>
          <w:numId w:val="1005"/>
        </w:numPr>
        <w:pStyle w:val="Compact"/>
      </w:pPr>
      <w:r>
        <w:t xml:space="preserve">Solves your no-EIN problem</w:t>
      </w:r>
    </w:p>
    <w:p>
      <w:pPr>
        <w:numPr>
          <w:ilvl w:val="0"/>
          <w:numId w:val="1005"/>
        </w:numPr>
        <w:pStyle w:val="Compact"/>
      </w:pPr>
      <w:r>
        <w:t xml:space="preserve">Legally segregates liability (broker’s compliance is broker’s responsibility per DPA)</w:t>
      </w:r>
    </w:p>
    <w:p>
      <w:pPr>
        <w:numPr>
          <w:ilvl w:val="0"/>
          <w:numId w:val="1005"/>
        </w:numPr>
        <w:pStyle w:val="Compact"/>
      </w:pPr>
      <w:r>
        <w:t xml:space="preserve">Bad broker → only THEIR Twilio gets banned, not the whole agency</w:t>
      </w:r>
    </w:p>
    <w:p>
      <w:pPr>
        <w:numPr>
          <w:ilvl w:val="0"/>
          <w:numId w:val="1005"/>
        </w:numPr>
        <w:pStyle w:val="Compact"/>
      </w:pPr>
      <w:r>
        <w:t xml:space="preserve">A2P 10DLC fees are broker’s cost, not yours</w:t>
      </w:r>
    </w:p>
    <w:p>
      <w:pPr>
        <w:numPr>
          <w:ilvl w:val="0"/>
          <w:numId w:val="1005"/>
        </w:numPr>
        <w:pStyle w:val="Compact"/>
      </w:pPr>
      <w:r>
        <w:t xml:space="preserve">Twilio billing flows direct to broker (you don’t front their SMS costs)</w:t>
      </w:r>
    </w:p>
    <w:p>
      <w:pPr>
        <w:pStyle w:val="Heading3"/>
      </w:pPr>
      <w:bookmarkStart w:id="34" w:name="cons"/>
      <w:r>
        <w:t xml:space="preserve">Cons:</w:t>
      </w:r>
      <w:bookmarkEnd w:id="34"/>
    </w:p>
    <w:p>
      <w:pPr>
        <w:numPr>
          <w:ilvl w:val="0"/>
          <w:numId w:val="1006"/>
        </w:numPr>
        <w:pStyle w:val="Compact"/>
      </w:pPr>
      <w:r>
        <w:t xml:space="preserve">Onboarding adds 2-3 days for broker to set up Twilio + A2P registration</w:t>
      </w:r>
    </w:p>
    <w:p>
      <w:pPr>
        <w:numPr>
          <w:ilvl w:val="0"/>
          <w:numId w:val="1006"/>
        </w:numPr>
        <w:pStyle w:val="Compact"/>
      </w:pPr>
      <w:r>
        <w:t xml:space="preserve">Some brokers will need hand-holding through the Twilio signup</w:t>
      </w:r>
    </w:p>
    <w:p>
      <w:pPr>
        <w:numPr>
          <w:ilvl w:val="0"/>
          <w:numId w:val="1006"/>
        </w:numPr>
        <w:pStyle w:val="Compact"/>
      </w:pPr>
      <w:r>
        <w:t xml:space="preserve">Slightly more complex sales pitch (</w:t>
      </w:r>
      <w:r>
        <w:t xml:space="preserve">“</w:t>
      </w:r>
      <w:r>
        <w:t xml:space="preserve">we run the bot, you own the infrastructure</w:t>
      </w:r>
      <w:r>
        <w:t xml:space="preserve">”</w:t>
      </w:r>
      <w:r>
        <w:t xml:space="preserve">)</w:t>
      </w:r>
    </w:p>
    <w:p>
      <w:pPr>
        <w:pStyle w:val="Heading3"/>
      </w:pPr>
      <w:bookmarkStart w:id="35" w:name="updated-phase-d-broker-onboarding-flow"/>
      <w:r>
        <w:t xml:space="preserve">Updated Phase D (broker onboarding flow):</w:t>
      </w:r>
      <w:bookmarkEnd w:id="35"/>
    </w:p>
    <w:p>
      <w:pPr>
        <w:pStyle w:val="FirstParagraph"/>
      </w:pPr>
      <w:r>
        <w:rPr>
          <w:b/>
        </w:rPr>
        <w:t xml:space="preserve">Phase D — Twilio Setup (replaces old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webhook wiring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step)</w:t>
      </w:r>
      <w:r>
        <w:t xml:space="preserve"> </w:t>
      </w:r>
      <w:r>
        <w:t xml:space="preserve">- [ ] Broker creates Twilio account at console.twilio.com</w:t>
      </w:r>
      <w:r>
        <w:t xml:space="preserve"> </w:t>
      </w:r>
      <w:r>
        <w:t xml:space="preserve">- [ ] Broker submits A2P 10DLC Brand registration ($4, ~10 days)</w:t>
      </w:r>
      <w:r>
        <w:t xml:space="preserve"> </w:t>
      </w:r>
      <w:r>
        <w:t xml:space="preserve">- [ ] Broker creates A2P 10DLC Campaign with use case</w:t>
      </w:r>
      <w:r>
        <w:t xml:space="preserve"> </w:t>
      </w:r>
      <w:r>
        <w:t xml:space="preserve">“</w:t>
      </w:r>
      <w:r>
        <w:t xml:space="preserve">Customer Care</w:t>
      </w:r>
      <w:r>
        <w:t xml:space="preserve">”</w:t>
      </w:r>
      <w:r>
        <w:t xml:space="preserve"> </w:t>
      </w:r>
      <w:r>
        <w:t xml:space="preserve">- [ ] Sample messages (copy-paste for broker):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Hi [Name], AI assistant for [Broker] about your service request in [City]. Is this an emergency or planned service? Reply STOP to opt out.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Got it. What’s the property type — single-family, condo, or commercial?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Thanks. Want to grab a free estimate? Pick a time: [calendly link]</w:t>
      </w:r>
      <w:r>
        <w:t xml:space="preserve">”</w:t>
      </w:r>
      <w:r>
        <w:t xml:space="preserve"> </w:t>
      </w:r>
      <w:r>
        <w:t xml:space="preserve">- [ ] Broker purchases phone number</w:t>
      </w:r>
      <w:r>
        <w:t xml:space="preserve"> </w:t>
      </w:r>
      <w:r>
        <w:t xml:space="preserve">- [ ] Broker shares: Account SID + Auth Token + Phone Number</w:t>
      </w:r>
      <w:r>
        <w:t xml:space="preserve"> </w:t>
      </w:r>
      <w:r>
        <w:t xml:space="preserve">- [ ] You: edit</w:t>
      </w:r>
      <w:r>
        <w:t xml:space="preserve"> </w:t>
      </w:r>
      <w:r>
        <w:rPr>
          <w:rStyle w:val="VerbatimChar"/>
        </w:rPr>
        <w:t xml:space="preserve">scripts/seed-broker.js</w:t>
      </w:r>
      <w:r>
        <w:t xml:space="preserve"> </w:t>
      </w:r>
      <w:r>
        <w:t xml:space="preserve">with broker config + run it</w:t>
      </w:r>
      <w:r>
        <w:t xml:space="preserve"> </w:t>
      </w:r>
      <w:r>
        <w:t xml:space="preserve">- [ ] You: provide broker the webhook URL:</w:t>
      </w:r>
      <w:r>
        <w:t xml:space="preserve"> </w:t>
      </w:r>
      <w:r>
        <w:rPr>
          <w:rStyle w:val="VerbatimChar"/>
        </w:rPr>
        <w:t xml:space="preserve">https://lead-response-bot.vercel.app/api/sms-reply</w:t>
      </w:r>
      <w:r>
        <w:t xml:space="preserve"> </w:t>
      </w:r>
      <w:r>
        <w:t xml:space="preserve">- [ ] Broker configures their phone number to use that webhook (Messaging → A MESSAGE COMES IN)</w:t>
      </w:r>
      <w:r>
        <w:t xml:space="preserve"> </w:t>
      </w:r>
      <w:r>
        <w:t xml:space="preserve">- [ ] Test E2E with one lead submission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upstash-upgrade-trigger"/>
      <w:r>
        <w:t xml:space="preserve">§9.7 — Upstash Upgrade Trigger</w:t>
      </w:r>
      <w:bookmarkEnd w:id="36"/>
    </w:p>
    <w:p>
      <w:pPr>
        <w:pStyle w:val="FirstParagraph"/>
      </w:pPr>
      <w:r>
        <w:rPr>
          <w:b/>
        </w:rPr>
        <w:t xml:space="preserve">Free tier limit:</w:t>
      </w:r>
      <w:r>
        <w:t xml:space="preserve"> </w:t>
      </w:r>
      <w:r>
        <w:t xml:space="preserve">10,000 commands/day.</w:t>
      </w:r>
      <w:r>
        <w:t xml:space="preserve"> </w:t>
      </w:r>
      <w:r>
        <w:rPr>
          <w:b/>
        </w:rPr>
        <w:t xml:space="preserve">Math:</w:t>
      </w:r>
      <w:r>
        <w:t xml:space="preserve"> </w:t>
      </w:r>
      <w:r>
        <w:t xml:space="preserve">Each SMS conversation ≈ 15-20 Redis commands. 10 active brokers × moderate traffic = 5K-15K commands/day. Hits cap.</w:t>
      </w:r>
    </w:p>
    <w:p>
      <w:pPr>
        <w:pStyle w:val="BodyText"/>
      </w:pPr>
      <w:r>
        <w:rPr>
          <w:b/>
        </w:rPr>
        <w:t xml:space="preserve">Action:</w:t>
      </w:r>
      <w:r>
        <w:t xml:space="preserve"> </w:t>
      </w:r>
      <w:r>
        <w:t xml:space="preserve">The moment broker #1 signs the paid contract (post-pilot), upgrade Upstash to Pay-As-You-Go ($40/mo or thereabouts).</w:t>
      </w:r>
    </w:p>
    <w:p>
      <w:pPr>
        <w:pStyle w:val="BodyText"/>
      </w:pPr>
      <w:r>
        <w:t xml:space="preserve">Add to monthly fixed costs: $40 (Upstash PAYG).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.1-twilio-signature-validation-note"/>
      <w:r>
        <w:t xml:space="preserve">§X.1 — Twilio Signature Validation Note</w:t>
      </w:r>
      <w:bookmarkEnd w:id="37"/>
    </w:p>
    <w:p>
      <w:pPr>
        <w:pStyle w:val="FirstParagraph"/>
      </w:pPr>
      <w:r>
        <w:t xml:space="preserve">The signature validator now uses the</w:t>
      </w:r>
      <w:r>
        <w:t xml:space="preserve"> </w:t>
      </w:r>
      <w:r>
        <w:rPr>
          <w:b/>
        </w:rPr>
        <w:t xml:space="preserve">broker’s</w:t>
      </w:r>
      <w:r>
        <w:t xml:space="preserve"> </w:t>
      </w:r>
      <w:r>
        <w:t xml:space="preserve">auth token (not env var) since each broker has their own Twilio. The current implementation passes the parsed body object — Twilio’s validator canonicalizes by sorting, so parsed body works.</w:t>
      </w:r>
    </w:p>
    <w:p>
      <w:pPr>
        <w:pStyle w:val="BodyText"/>
      </w:pPr>
      <w:r>
        <w:rPr>
          <w:b/>
        </w:rPr>
        <w:t xml:space="preserve">Monitor:</w:t>
      </w:r>
      <w:r>
        <w:t xml:space="preserve"> </w:t>
      </w:r>
      <w:r>
        <w:t xml:space="preserve">First production webhook from broker. If you see 403 errors, switch to raw-body approach (requires Vercel runtime config tweak).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end-of-addendum"/>
      <w:r>
        <w:t xml:space="preserve">End of Addendum</w:t>
      </w:r>
      <w:bookmarkEnd w:id="38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2026-06-24T23:24:12Z</dcterms:created>
  <dcterms:modified xsi:type="dcterms:W3CDTF">2026-06-24T23:24:12Z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