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traceable protocol audits intelligent HR prediction beyond accuracy.</w:t>
      </w:r>
    </w:p>
    <w:p>
      <w:pPr>
        <w:pStyle w:val="Compact"/>
        <w:numPr>
          <w:ilvl w:val="0"/>
          <w:numId w:val="1001"/>
        </w:numPr>
      </w:pPr>
      <w:r>
        <w:t xml:space="preserve">Selection objectives changed 37 of 60 model-fold candidate choices.</w:t>
      </w:r>
    </w:p>
    <w:p>
      <w:pPr>
        <w:pStyle w:val="Compact"/>
        <w:numPr>
          <w:ilvl w:val="0"/>
          <w:numId w:val="1001"/>
        </w:numPr>
      </w:pPr>
      <w:r>
        <w:t xml:space="preserve">Strong ordinal scores coexisted with near-zero highest-rating recall.</w:t>
      </w:r>
    </w:p>
    <w:p>
      <w:pPr>
        <w:pStyle w:val="Compact"/>
        <w:numPr>
          <w:ilvl w:val="0"/>
          <w:numId w:val="1001"/>
        </w:numPr>
      </w:pPr>
      <w:r>
        <w:t xml:space="preserve">Information availability materially changed nominal-XGBoost performance.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2026-09-09T17:57:30Z</dcterms:created>
  <dcterms:modified xsi:type="dcterms:W3CDTF">2026-09-09T17:57:30Z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