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</w:t>
      </w:r>
    </w:p>
    <w:p>
      <w:pPr>
        <w:pStyle w:val="FirstParagraph"/>
      </w:pPr>
      <w:r>
        <w:t xml:space="preserve">This anonymous scientific supplement reports method contracts and aggregate evidence for the accompanying manuscript. It contains no author identity, employee-level record, fitted model, approval history, internal review, or development diary. Exact, unabridged versions of Tables S1–S4 and S6–S8 are supplied as CSV files in the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 </w:t>
      </w:r>
      <w:r>
        <w:t xml:space="preserve">directory.</w:t>
      </w:r>
    </w:p>
    <w:bookmarkStart w:id="11" w:name="X4699b385bc755da024f56a9ffe7bfdf8ae33c39"/>
    <w:p>
      <w:pPr>
        <w:pStyle w:val="Heading1"/>
      </w:pPr>
      <w:r>
        <w:t xml:space="preserve">Table S1. Feature-availability and governance matrix</w:t>
      </w:r>
    </w:p>
    <w:p>
      <w:pPr>
        <w:pStyle w:val="FirstParagraph"/>
      </w:pPr>
      <w:r>
        <w:rPr>
          <w:rStyle w:val="VerbatimChar"/>
        </w:rPr>
        <w:t xml:space="preserve">I</w:t>
      </w:r>
      <w:r>
        <w:t xml:space="preserve"> </w:t>
      </w:r>
      <w:r>
        <w:t xml:space="preserve">denotes included and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excluded. A question mark marks plausible pre-existence without a verified row-level timestamp. Full semantic descriptions, governance classes, justifications, and timestamp caveats appear in</w:t>
      </w:r>
      <w:r>
        <w:t xml:space="preserve"> </w:t>
      </w:r>
      <w:r>
        <w:rPr>
          <w:rStyle w:val="VerbatimChar"/>
        </w:rPr>
        <w:t xml:space="preserve">tables/Table_S1.csv</w:t>
      </w:r>
      <w:r>
        <w:t xml:space="preserve">.</w:t>
      </w:r>
    </w:p>
    <w:bookmarkStart w:id="9" w:name="X3a49407c2e002dd4808c241263f7cad935afa0d"/>
    <w:p>
      <w:pPr>
        <w:pStyle w:val="Heading2"/>
      </w:pPr>
      <w:r>
        <w:t xml:space="preserve">Table S1a. Timing and risk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EmpNumber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EducationBackground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Ordinary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MaritalStatus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EmpDepartment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Org.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EmpJobRole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Org.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BusinessTravelFrequency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Org.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DistanceFromHome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Ordinary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EmpEducationLevel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Ordinary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EmpEnvironmentSatisfaction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EmpHourlyRate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Org.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EmpJobInvolvement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EmpJobLevel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Org.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EmpJobSatisfaction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NumCompaniesWorked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Ordinary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EmpLastSalaryHikePercent</w:t>
            </w:r>
          </w:p>
        </w:tc>
        <w:tc>
          <w:tcPr/>
          <w:p>
            <w:pPr>
              <w:pStyle w:val="Compact"/>
            </w:pPr>
            <w:r>
              <w:t xml:space="preserve">May postdate</w:t>
            </w:r>
          </w:p>
        </w:tc>
        <w:tc>
          <w:tcPr/>
          <w:p>
            <w:pPr>
              <w:pStyle w:val="Compact"/>
            </w:pPr>
            <w:r>
              <w:t xml:space="preserve">Outcome-near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EmpRelationshipSatisfaction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TotalWorkExperienceInYears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Ordinary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TrainingTimesLastYear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EmpWorkLifeBalance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ExperienceYearsAtThisCompany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Ordinary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ExperienceYearsInCurrentRole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Org.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YearsSinceLastPromotion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Org.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YearsWithCurrManager</w:t>
            </w:r>
          </w:p>
        </w:tc>
        <w:tc>
          <w:tcPr/>
          <w:p>
            <w:pPr>
              <w:pStyle w:val="Compact"/>
            </w:pPr>
            <w:r>
              <w:t xml:space="preserve">Pre-existing?</w:t>
            </w:r>
          </w:p>
        </w:tc>
        <w:tc>
          <w:tcPr/>
          <w:p>
            <w:pPr>
              <w:pStyle w:val="Compact"/>
            </w:pPr>
            <w:r>
              <w:t xml:space="preserve">Org.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</w:t>
            </w:r>
          </w:p>
        </w:tc>
        <w:tc>
          <w:tcPr/>
          <w:p>
            <w:pPr>
              <w:pStyle w:val="Compact"/>
            </w:pPr>
            <w:r>
              <w:t xml:space="preserve">May postdate</w:t>
            </w:r>
          </w:p>
        </w:tc>
        <w:tc>
          <w:tcPr/>
          <w:p>
            <w:pPr>
              <w:pStyle w:val="Compact"/>
            </w:pPr>
            <w:r>
              <w:t xml:space="preserve">temporal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PerformanceRating</w:t>
            </w:r>
          </w:p>
        </w:tc>
        <w:tc>
          <w:tcPr/>
          <w:p>
            <w:pPr>
              <w:pStyle w:val="Compact"/>
            </w:pPr>
            <w:r>
              <w:t xml:space="preserve">unavailable by design target</w:t>
            </w:r>
          </w:p>
        </w:tc>
        <w:tc>
          <w:tcPr/>
          <w:p>
            <w:pPr>
              <w:pStyle w:val="Compact"/>
            </w:pPr>
            <w:r>
              <w:t xml:space="preserve">target direct leakage</w:t>
            </w:r>
          </w:p>
        </w:tc>
      </w:tr>
    </w:tbl>
    <w:bookmarkEnd w:id="9"/>
    <w:bookmarkStart w:id="10" w:name="table-s1b.-policy-inclusion-matrix"/>
    <w:p>
      <w:pPr>
        <w:pStyle w:val="Heading2"/>
      </w:pPr>
      <w:r>
        <w:t xml:space="preserve">Table S1b. Policy inclusion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EmpNumber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EducationBackground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MaritalStatus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EmpDepartment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EmpJobRole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BusinessTravelFrequency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DistanceFromHome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EmpEducationLevel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EmpEnvironmentSatisfaction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EmpHourlyRate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EmpJobInvolvement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EmpJobLevel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EmpJobSatisfaction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NumCompaniesWorked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EmpLastSalaryHikePercent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EmpRelationshipSatisfaction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TotalWorkExperienceInYears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TrainingTimesLastYear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EmpWorkLifeBalance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ExperienceYearsAtThisCompany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ExperienceYearsInCurrentRole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YearsSinceLastPromotion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YearsWithCurrManager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PerformanceRating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</w:tbl>
    <w:bookmarkEnd w:id="10"/>
    <w:bookmarkEnd w:id="11"/>
    <w:bookmarkStart w:id="12" w:name="Xeac7bbb21676dadecc9169f8fab00a8b9d23d29"/>
    <w:p>
      <w:pPr>
        <w:pStyle w:val="Heading1"/>
      </w:pPr>
      <w:r>
        <w:t xml:space="preserve">Table S2. Preprocessing and search contract</w:t>
      </w:r>
    </w:p>
    <w:p>
      <w:pPr>
        <w:pStyle w:val="FirstParagraph"/>
      </w:pPr>
      <w:r>
        <w:t xml:space="preserve">All preprocessing and candidate selection are confined to the current training partition. Exact estimator paths, fixed parameters, candidate grids, tolerances, and failure rules appear in</w:t>
      </w:r>
      <w:r>
        <w:t xml:space="preserve"> </w:t>
      </w:r>
      <w:r>
        <w:rPr>
          <w:rStyle w:val="VerbatimChar"/>
        </w:rPr>
        <w:t xml:space="preserve">tables/Table_S2.csv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t xml:space="preserve">Fit scope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Tie break</w:t>
            </w:r>
          </w:p>
        </w:tc>
        <w:tc>
          <w:tcPr/>
          <w:p>
            <w:pPr>
              <w:pStyle w:val="Compact"/>
            </w:pPr>
            <w:r>
              <w:t xml:space="preserve">Outer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Numeric preprocessing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Categorical preprocessing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model</w:t>
            </w:r>
          </w:p>
        </w:tc>
        <w:tc>
          <w:tcPr/>
          <w:p>
            <w:pPr>
              <w:pStyle w:val="Compact"/>
            </w:pPr>
            <w:r>
              <w:t xml:space="preserve">Multinomial Logistic Regression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model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model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model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model</w:t>
            </w:r>
          </w:p>
        </w:tc>
        <w:tc>
          <w:tcPr/>
          <w:p>
            <w:pPr>
              <w:pStyle w:val="Compact"/>
            </w:pPr>
            <w:r>
              <w:t xml:space="preserve">Proportional-Odds Ordinal Logistic Regression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model</w:t>
            </w:r>
          </w:p>
        </w:tc>
        <w:tc>
          <w:tcPr/>
          <w:p>
            <w:pPr>
              <w:pStyle w:val="Compact"/>
            </w:pPr>
            <w:r>
              <w:t xml:space="preserve">Cumulative-Threshold XGBoost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regime</w:t>
            </w:r>
          </w:p>
        </w:tc>
        <w:tc>
          <w:tcPr/>
          <w:p>
            <w:pPr>
              <w:pStyle w:val="Compact"/>
            </w:pPr>
            <w:r>
              <w:t xml:space="preserve">macro f1 selection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quadratic weighted kappa; then lowest candidate index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regime</w:t>
            </w:r>
          </w:p>
        </w:tc>
        <w:tc>
          <w:tcPr/>
          <w:p>
            <w:pPr>
              <w:pStyle w:val="Compact"/>
            </w:pPr>
            <w:r>
              <w:t xml:space="preserve">qwk selection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Training partitions only</w:t>
            </w:r>
          </w:p>
        </w:tc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macro f1; then lowest candidate index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</w:tbl>
    <w:bookmarkEnd w:id="12"/>
    <w:bookmarkStart w:id="13" w:name="table-s3.-cross-validation-overview"/>
    <w:p>
      <w:pPr>
        <w:pStyle w:val="Heading1"/>
      </w:pPr>
      <w:r>
        <w:t xml:space="preserve">Table S3. Cross-validation overview</w:t>
      </w:r>
    </w:p>
    <w:p>
      <w:pPr>
        <w:pStyle w:val="FirstParagraph"/>
      </w:pPr>
      <w:r>
        <w:t xml:space="preserve">Exact seed schedules, fold identities, out-of-fold coverage, calibration isolation, selection-score sources, and reuse/refit boundaries appear in</w:t>
      </w:r>
      <w:r>
        <w:t xml:space="preserve"> </w:t>
      </w:r>
      <w:r>
        <w:rPr>
          <w:rStyle w:val="VerbatimChar"/>
        </w:rPr>
        <w:t xml:space="preserve">tables/Table_S3.csv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Outer design</w:t>
            </w:r>
          </w:p>
        </w:tc>
        <w:tc>
          <w:tcPr/>
          <w:p>
            <w:pPr>
              <w:pStyle w:val="Compact"/>
            </w:pPr>
            <w:r>
              <w:t xml:space="preserve">Inner design</w:t>
            </w:r>
          </w:p>
        </w:tc>
        <w:tc>
          <w:tcPr/>
          <w:p>
            <w:pPr>
              <w:pStyle w:val="Compact"/>
            </w:pPr>
            <w:r>
              <w:t xml:space="preserve">Outer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benchmark</w:t>
            </w:r>
          </w:p>
        </w:tc>
        <w:tc>
          <w:tcPr/>
          <w:p>
            <w:pPr>
              <w:pStyle w:val="Compact"/>
            </w:pPr>
            <w:r>
              <w:t xml:space="preserve">INX/P3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10-fold stratified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Repeated-CV sensitivity</w:t>
            </w:r>
          </w:p>
        </w:tc>
        <w:tc>
          <w:tcPr/>
          <w:p>
            <w:pPr>
              <w:pStyle w:val="Compact"/>
            </w:pPr>
            <w:r>
              <w:t xml:space="preserve">INX/P3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Fixed-policy sensitivity</w:t>
            </w:r>
          </w:p>
        </w:tc>
        <w:tc>
          <w:tcPr/>
          <w:p>
            <w:pPr>
              <w:pStyle w:val="Compact"/>
            </w:pPr>
            <w:r>
              <w:t xml:space="preserve">INX/P0-P5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10-fold stratified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Retuned-policy sensitivity</w:t>
            </w:r>
          </w:p>
        </w:tc>
        <w:tc>
          <w:tcPr/>
          <w:p>
            <w:pPr>
              <w:pStyle w:val="Compact"/>
            </w:pPr>
            <w:r>
              <w:t xml:space="preserve">INX/P0-P5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10-fold stratified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Selection-objective sensitivity</w:t>
            </w:r>
          </w:p>
        </w:tc>
        <w:tc>
          <w:tcPr/>
          <w:p>
            <w:pPr>
              <w:pStyle w:val="Compact"/>
            </w:pPr>
            <w:r>
              <w:t xml:space="preserve">INX/P3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10-fold stratified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Sigmoid calibration</w:t>
            </w:r>
          </w:p>
        </w:tc>
        <w:tc>
          <w:tcPr/>
          <w:p>
            <w:pPr>
              <w:pStyle w:val="Compact"/>
            </w:pPr>
            <w:r>
              <w:t xml:space="preserve">INX/P3/XGBoost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10-fold stratified</w:t>
            </w:r>
          </w:p>
        </w:tc>
        <w:tc>
          <w:tcPr/>
          <w:p>
            <w:pPr>
              <w:pStyle w:val="Compact"/>
            </w:pPr>
            <w:r>
              <w:t xml:space="preserve">Persisted folds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target/CV sensitivity</w:t>
            </w:r>
          </w:p>
        </w:tc>
        <w:tc>
          <w:tcPr/>
          <w:p>
            <w:pPr>
              <w:pStyle w:val="Compact"/>
            </w:pPr>
            <w:r>
              <w:t xml:space="preserve">HRDataset v14/conservative seven features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target-alias sensitivity</w:t>
            </w:r>
          </w:p>
        </w:tc>
        <w:tc>
          <w:tcPr/>
          <w:p>
            <w:pPr>
              <w:pStyle w:val="Compact"/>
            </w:pPr>
            <w:r>
              <w:t xml:space="preserve">HRDataset v14/311 historical and matched 309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5-fold stratified</w:t>
            </w:r>
          </w:p>
        </w:tc>
        <w:tc>
          <w:tcPr/>
          <w:p>
            <w:pPr>
              <w:pStyle w:val="Compact"/>
            </w:pPr>
            <w:r>
              <w:t xml:space="preserve">Evaluation only</w:t>
            </w:r>
          </w:p>
        </w:tc>
      </w:tr>
    </w:tbl>
    <w:bookmarkEnd w:id="13"/>
    <w:bookmarkStart w:id="14" w:name="Xdd069ec14c2f9eb7ea9a62daf2d182d7dc36b4d"/>
    <w:p>
      <w:pPr>
        <w:pStyle w:val="Heading1"/>
      </w:pPr>
      <w:r>
        <w:t xml:space="preserve">Table S4. Per-class performance by selection objective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0.7974</w:t>
            </w:r>
          </w:p>
        </w:tc>
        <w:tc>
          <w:tcPr/>
          <w:p>
            <w:pPr>
              <w:pStyle w:val="Compact"/>
            </w:pPr>
            <w:r>
              <w:t xml:space="preserve">0.9330</w:t>
            </w:r>
          </w:p>
        </w:tc>
        <w:tc>
          <w:tcPr/>
          <w:p>
            <w:pPr>
              <w:pStyle w:val="Compact"/>
            </w:pPr>
            <w:r>
              <w:t xml:space="preserve">0.8599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0.8700</w:t>
            </w:r>
          </w:p>
        </w:tc>
        <w:tc>
          <w:tcPr/>
          <w:p>
            <w:pPr>
              <w:pStyle w:val="Compact"/>
            </w:pPr>
            <w:r>
              <w:t xml:space="preserve">0.6739</w:t>
            </w:r>
          </w:p>
        </w:tc>
        <w:tc>
          <w:tcPr/>
          <w:p>
            <w:pPr>
              <w:pStyle w:val="Compact"/>
            </w:pPr>
            <w:r>
              <w:t xml:space="preserve">0.7595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0.1858</w:t>
            </w:r>
          </w:p>
        </w:tc>
        <w:tc>
          <w:tcPr/>
          <w:p>
            <w:pPr>
              <w:pStyle w:val="Compact"/>
            </w:pPr>
            <w:r>
              <w:t xml:space="preserve">0.4167</w:t>
            </w:r>
          </w:p>
        </w:tc>
        <w:tc>
          <w:tcPr/>
          <w:p>
            <w:pPr>
              <w:pStyle w:val="Compact"/>
            </w:pPr>
            <w:r>
              <w:t xml:space="preserve">0.2570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0.8233</w:t>
            </w:r>
          </w:p>
        </w:tc>
        <w:tc>
          <w:tcPr/>
          <w:p>
            <w:pPr>
              <w:pStyle w:val="Compact"/>
            </w:pPr>
            <w:r>
              <w:t xml:space="preserve">0.9124</w:t>
            </w:r>
          </w:p>
        </w:tc>
        <w:tc>
          <w:tcPr/>
          <w:p>
            <w:pPr>
              <w:pStyle w:val="Compact"/>
            </w:pPr>
            <w:r>
              <w:t xml:space="preserve">0.8655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0.8497</w:t>
            </w:r>
          </w:p>
        </w:tc>
        <w:tc>
          <w:tcPr/>
          <w:p>
            <w:pPr>
              <w:pStyle w:val="Compact"/>
            </w:pPr>
            <w:r>
              <w:t xml:space="preserve">0.8924</w:t>
            </w:r>
          </w:p>
        </w:tc>
        <w:tc>
          <w:tcPr/>
          <w:p>
            <w:pPr>
              <w:pStyle w:val="Compact"/>
            </w:pPr>
            <w:r>
              <w:t xml:space="preserve">0.8705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0.1194</w:t>
            </w:r>
          </w:p>
        </w:tc>
        <w:tc>
          <w:tcPr/>
          <w:p>
            <w:pPr>
              <w:pStyle w:val="Compact"/>
            </w:pPr>
            <w:r>
              <w:t xml:space="preserve">0.0606</w:t>
            </w:r>
          </w:p>
        </w:tc>
        <w:tc>
          <w:tcPr/>
          <w:p>
            <w:pPr>
              <w:pStyle w:val="Compact"/>
            </w:pPr>
            <w:r>
              <w:t xml:space="preserve">0.0804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0.5485</w:t>
            </w:r>
          </w:p>
        </w:tc>
        <w:tc>
          <w:tcPr/>
          <w:p>
            <w:pPr>
              <w:pStyle w:val="Compact"/>
            </w:pPr>
            <w:r>
              <w:t xml:space="preserve">0.6701</w:t>
            </w:r>
          </w:p>
        </w:tc>
        <w:tc>
          <w:tcPr/>
          <w:p>
            <w:pPr>
              <w:pStyle w:val="Compact"/>
            </w:pPr>
            <w:r>
              <w:t xml:space="preserve">0.6032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0.8010</w:t>
            </w:r>
          </w:p>
        </w:tc>
        <w:tc>
          <w:tcPr/>
          <w:p>
            <w:pPr>
              <w:pStyle w:val="Compact"/>
            </w:pPr>
            <w:r>
              <w:t xml:space="preserve">0.7277</w:t>
            </w:r>
          </w:p>
        </w:tc>
        <w:tc>
          <w:tcPr/>
          <w:p>
            <w:pPr>
              <w:pStyle w:val="Compact"/>
            </w:pPr>
            <w:r>
              <w:t xml:space="preserve">0.7626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0.1361</w:t>
            </w:r>
          </w:p>
        </w:tc>
        <w:tc>
          <w:tcPr/>
          <w:p>
            <w:pPr>
              <w:pStyle w:val="Compact"/>
            </w:pPr>
            <w:r>
              <w:t xml:space="preserve">0.1742</w:t>
            </w:r>
          </w:p>
        </w:tc>
        <w:tc>
          <w:tcPr/>
          <w:p>
            <w:pPr>
              <w:pStyle w:val="Compact"/>
            </w:pPr>
            <w:r>
              <w:t xml:space="preserve">0.1528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0.5126</w:t>
            </w:r>
          </w:p>
        </w:tc>
        <w:tc>
          <w:tcPr/>
          <w:p>
            <w:pPr>
              <w:pStyle w:val="Compact"/>
            </w:pPr>
            <w:r>
              <w:t xml:space="preserve">0.7320</w:t>
            </w:r>
          </w:p>
        </w:tc>
        <w:tc>
          <w:tcPr/>
          <w:p>
            <w:pPr>
              <w:pStyle w:val="Compact"/>
            </w:pPr>
            <w:r>
              <w:t xml:space="preserve">0.6030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0.7920</w:t>
            </w:r>
          </w:p>
        </w:tc>
        <w:tc>
          <w:tcPr/>
          <w:p>
            <w:pPr>
              <w:pStyle w:val="Compact"/>
            </w:pPr>
            <w:r>
              <w:t xml:space="preserve">0.5183</w:t>
            </w:r>
          </w:p>
        </w:tc>
        <w:tc>
          <w:tcPr/>
          <w:p>
            <w:pPr>
              <w:pStyle w:val="Compact"/>
            </w:pPr>
            <w:r>
              <w:t xml:space="preserve">0.6266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0.4091</w:t>
            </w:r>
          </w:p>
        </w:tc>
        <w:tc>
          <w:tcPr/>
          <w:p>
            <w:pPr>
              <w:pStyle w:val="Compact"/>
            </w:pPr>
            <w:r>
              <w:t xml:space="preserve">0.2236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0.8364</w:t>
            </w:r>
          </w:p>
        </w:tc>
        <w:tc>
          <w:tcPr/>
          <w:p>
            <w:pPr>
              <w:pStyle w:val="Compact"/>
            </w:pPr>
            <w:r>
              <w:t xml:space="preserve">0.9227</w:t>
            </w:r>
          </w:p>
        </w:tc>
        <w:tc>
          <w:tcPr/>
          <w:p>
            <w:pPr>
              <w:pStyle w:val="Compact"/>
            </w:pPr>
            <w:r>
              <w:t xml:space="preserve">0.8775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0.8517</w:t>
            </w:r>
          </w:p>
        </w:tc>
        <w:tc>
          <w:tcPr/>
          <w:p>
            <w:pPr>
              <w:pStyle w:val="Compact"/>
            </w:pPr>
            <w:r>
              <w:t xml:space="preserve">0.9531</w:t>
            </w:r>
          </w:p>
        </w:tc>
        <w:tc>
          <w:tcPr/>
          <w:p>
            <w:pPr>
              <w:pStyle w:val="Compact"/>
            </w:pPr>
            <w:r>
              <w:t xml:space="preserve">0.8996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0.8211</w:t>
            </w:r>
          </w:p>
        </w:tc>
        <w:tc>
          <w:tcPr/>
          <w:p>
            <w:pPr>
              <w:pStyle w:val="Compact"/>
            </w:pPr>
            <w:r>
              <w:t xml:space="preserve">0.9227</w:t>
            </w:r>
          </w:p>
        </w:tc>
        <w:tc>
          <w:tcPr/>
          <w:p>
            <w:pPr>
              <w:pStyle w:val="Compact"/>
            </w:pPr>
            <w:r>
              <w:t xml:space="preserve">0.8689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0.8542</w:t>
            </w:r>
          </w:p>
        </w:tc>
        <w:tc>
          <w:tcPr/>
          <w:p>
            <w:pPr>
              <w:pStyle w:val="Compact"/>
            </w:pPr>
            <w:r>
              <w:t xml:space="preserve">0.8112</w:t>
            </w:r>
          </w:p>
        </w:tc>
        <w:tc>
          <w:tcPr/>
          <w:p>
            <w:pPr>
              <w:pStyle w:val="Compact"/>
            </w:pPr>
            <w:r>
              <w:t xml:space="preserve">0.8322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0.1513</w:t>
            </w:r>
          </w:p>
        </w:tc>
        <w:tc>
          <w:tcPr/>
          <w:p>
            <w:pPr>
              <w:pStyle w:val="Compact"/>
            </w:pPr>
            <w:r>
              <w:t xml:space="preserve">0.1742</w:t>
            </w:r>
          </w:p>
        </w:tc>
        <w:tc>
          <w:tcPr/>
          <w:p>
            <w:pPr>
              <w:pStyle w:val="Compact"/>
            </w:pPr>
            <w:r>
              <w:t xml:space="preserve">0.1620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0.8447</w:t>
            </w:r>
          </w:p>
        </w:tc>
        <w:tc>
          <w:tcPr/>
          <w:p>
            <w:pPr>
              <w:pStyle w:val="Compact"/>
            </w:pPr>
            <w:r>
              <w:t xml:space="preserve">0.8969</w:t>
            </w:r>
          </w:p>
        </w:tc>
        <w:tc>
          <w:tcPr/>
          <w:p>
            <w:pPr>
              <w:pStyle w:val="Compact"/>
            </w:pPr>
            <w:r>
              <w:t xml:space="preserve">0.8700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0.8491</w:t>
            </w:r>
          </w:p>
        </w:tc>
        <w:tc>
          <w:tcPr/>
          <w:p>
            <w:pPr>
              <w:pStyle w:val="Compact"/>
            </w:pPr>
            <w:r>
              <w:t xml:space="preserve">0.9657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0.8293</w:t>
            </w:r>
          </w:p>
        </w:tc>
        <w:tc>
          <w:tcPr/>
          <w:p>
            <w:pPr>
              <w:pStyle w:val="Compact"/>
            </w:pPr>
            <w:r>
              <w:t xml:space="preserve">0.8763</w:t>
            </w:r>
          </w:p>
        </w:tc>
        <w:tc>
          <w:tcPr/>
          <w:p>
            <w:pPr>
              <w:pStyle w:val="Compact"/>
            </w:pPr>
            <w:r>
              <w:t xml:space="preserve">0.8521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0.8460</w:t>
            </w:r>
          </w:p>
        </w:tc>
        <w:tc>
          <w:tcPr/>
          <w:p>
            <w:pPr>
              <w:pStyle w:val="Compact"/>
            </w:pPr>
            <w:r>
              <w:t xml:space="preserve">0.9428</w:t>
            </w:r>
          </w:p>
        </w:tc>
        <w:tc>
          <w:tcPr/>
          <w:p>
            <w:pPr>
              <w:pStyle w:val="Compact"/>
            </w:pPr>
            <w:r>
              <w:t xml:space="preserve">0.8918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0.1905</w:t>
            </w:r>
          </w:p>
        </w:tc>
        <w:tc>
          <w:tcPr/>
          <w:p>
            <w:pPr>
              <w:pStyle w:val="Compact"/>
            </w:pPr>
            <w:r>
              <w:t xml:space="preserve">0.0303</w:t>
            </w:r>
          </w:p>
        </w:tc>
        <w:tc>
          <w:tcPr/>
          <w:p>
            <w:pPr>
              <w:pStyle w:val="Compact"/>
            </w:pPr>
            <w:r>
              <w:t xml:space="preserve">0.0523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0.5375</w:t>
            </w:r>
          </w:p>
        </w:tc>
        <w:tc>
          <w:tcPr/>
          <w:p>
            <w:pPr>
              <w:pStyle w:val="Compact"/>
            </w:pPr>
            <w:r>
              <w:t xml:space="preserve">0.6649</w:t>
            </w:r>
          </w:p>
        </w:tc>
        <w:tc>
          <w:tcPr/>
          <w:p>
            <w:pPr>
              <w:pStyle w:val="Compact"/>
            </w:pPr>
            <w:r>
              <w:t xml:space="preserve">0.5945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0.7985</w:t>
            </w:r>
          </w:p>
        </w:tc>
        <w:tc>
          <w:tcPr/>
          <w:p>
            <w:pPr>
              <w:pStyle w:val="Compact"/>
            </w:pPr>
            <w:r>
              <w:t xml:space="preserve">0.7208</w:t>
            </w:r>
          </w:p>
        </w:tc>
        <w:tc>
          <w:tcPr/>
          <w:p>
            <w:pPr>
              <w:pStyle w:val="Compact"/>
            </w:pPr>
            <w:r>
              <w:t xml:space="preserve">0.7577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0.1345</w:t>
            </w:r>
          </w:p>
        </w:tc>
        <w:tc>
          <w:tcPr/>
          <w:p>
            <w:pPr>
              <w:pStyle w:val="Compact"/>
            </w:pPr>
            <w:r>
              <w:t xml:space="preserve">0.1742</w:t>
            </w:r>
          </w:p>
        </w:tc>
        <w:tc>
          <w:tcPr/>
          <w:p>
            <w:pPr>
              <w:pStyle w:val="Compact"/>
            </w:pPr>
            <w:r>
              <w:t xml:space="preserve">0.1518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0.4836</w:t>
            </w:r>
          </w:p>
        </w:tc>
        <w:tc>
          <w:tcPr/>
          <w:p>
            <w:pPr>
              <w:pStyle w:val="Compact"/>
            </w:pPr>
            <w:r>
              <w:t xml:space="preserve">0.8351</w:t>
            </w:r>
          </w:p>
        </w:tc>
        <w:tc>
          <w:tcPr/>
          <w:p>
            <w:pPr>
              <w:pStyle w:val="Compact"/>
            </w:pPr>
            <w:r>
              <w:t xml:space="preserve">0.6125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0.8121</w:t>
            </w:r>
          </w:p>
        </w:tc>
        <w:tc>
          <w:tcPr/>
          <w:p>
            <w:pPr>
              <w:pStyle w:val="Compact"/>
            </w:pPr>
            <w:r>
              <w:t xml:space="preserve">0.4005</w:t>
            </w:r>
          </w:p>
        </w:tc>
        <w:tc>
          <w:tcPr/>
          <w:p>
            <w:pPr>
              <w:pStyle w:val="Compact"/>
            </w:pPr>
            <w:r>
              <w:t xml:space="preserve">0.5364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0.1567</w:t>
            </w:r>
          </w:p>
        </w:tc>
        <w:tc>
          <w:tcPr/>
          <w:p>
            <w:pPr>
              <w:pStyle w:val="Compact"/>
            </w:pPr>
            <w:r>
              <w:t xml:space="preserve">0.5152</w:t>
            </w:r>
          </w:p>
        </w:tc>
        <w:tc>
          <w:tcPr/>
          <w:p>
            <w:pPr>
              <w:pStyle w:val="Compact"/>
            </w:pPr>
            <w:r>
              <w:t xml:space="preserve">0.2403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0.8249</w:t>
            </w:r>
          </w:p>
        </w:tc>
        <w:tc>
          <w:tcPr/>
          <w:p>
            <w:pPr>
              <w:pStyle w:val="Compact"/>
            </w:pPr>
            <w:r>
              <w:t xml:space="preserve">0.9227</w:t>
            </w:r>
          </w:p>
        </w:tc>
        <w:tc>
          <w:tcPr/>
          <w:p>
            <w:pPr>
              <w:pStyle w:val="Compact"/>
            </w:pPr>
            <w:r>
              <w:t xml:space="preserve">0.8710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0.8520</w:t>
            </w:r>
          </w:p>
        </w:tc>
        <w:tc>
          <w:tcPr/>
          <w:p>
            <w:pPr>
              <w:pStyle w:val="Compact"/>
            </w:pPr>
            <w:r>
              <w:t xml:space="preserve">0.9554</w:t>
            </w:r>
          </w:p>
        </w:tc>
        <w:tc>
          <w:tcPr/>
          <w:p>
            <w:pPr>
              <w:pStyle w:val="Compact"/>
            </w:pPr>
            <w:r>
              <w:t xml:space="preserve">0.9008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0.8524</w:t>
            </w:r>
          </w:p>
        </w:tc>
        <w:tc>
          <w:tcPr/>
          <w:p>
            <w:pPr>
              <w:pStyle w:val="Compact"/>
            </w:pPr>
            <w:r>
              <w:t xml:space="preserve">0.9227</w:t>
            </w:r>
          </w:p>
        </w:tc>
        <w:tc>
          <w:tcPr/>
          <w:p>
            <w:pPr>
              <w:pStyle w:val="Compact"/>
            </w:pPr>
            <w:r>
              <w:t xml:space="preserve">0.8861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0.8535</w:t>
            </w:r>
          </w:p>
        </w:tc>
        <w:tc>
          <w:tcPr/>
          <w:p>
            <w:pPr>
              <w:pStyle w:val="Compact"/>
            </w:pPr>
            <w:r>
              <w:t xml:space="preserve">0.9600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0.1429</w:t>
            </w:r>
          </w:p>
        </w:tc>
        <w:tc>
          <w:tcPr/>
          <w:p>
            <w:pPr>
              <w:pStyle w:val="Compact"/>
            </w:pPr>
            <w:r>
              <w:t xml:space="preserve">0.0076</w:t>
            </w:r>
          </w:p>
        </w:tc>
        <w:tc>
          <w:tcPr/>
          <w:p>
            <w:pPr>
              <w:pStyle w:val="Compact"/>
            </w:pPr>
            <w:r>
              <w:t xml:space="preserve">0.0144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</w:tbl>
    <w:p>
      <w:pPr>
        <w:pStyle w:val="BodyText"/>
      </w:pPr>
      <w:r>
        <w:t xml:space="preserve">Hard predictions use the declared argmax rule with no class-specific threshold optimization. The exact table is</w:t>
      </w:r>
      <w:r>
        <w:t xml:space="preserve"> </w:t>
      </w:r>
      <w:r>
        <w:rPr>
          <w:rStyle w:val="VerbatimChar"/>
        </w:rPr>
        <w:t xml:space="preserve">tables/Table_S4.csv</w:t>
      </w:r>
      <w:r>
        <w:t xml:space="preserve">.</w:t>
      </w:r>
    </w:p>
    <w:bookmarkEnd w:id="14"/>
    <w:bookmarkStart w:id="15" w:name="table-s5.-complete-audit-gates"/>
    <w:p>
      <w:pPr>
        <w:pStyle w:val="Heading1"/>
      </w:pPr>
      <w:r>
        <w:t xml:space="preserve">Table S5. Complete audit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Permissible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Features and intended context</w:t>
            </w:r>
          </w:p>
        </w:tc>
        <w:tc>
          <w:tcPr/>
          <w:p>
            <w:pPr>
              <w:pStyle w:val="Compact"/>
            </w:pPr>
            <w:r>
              <w:t xml:space="preserve">Availability/timing contract</w:t>
            </w:r>
          </w:p>
        </w:tc>
        <w:tc>
          <w:tcPr/>
          <w:p>
            <w:pPr>
              <w:pStyle w:val="Compact"/>
            </w:pPr>
            <w:r>
              <w:t xml:space="preserve">Timing unverified</w:t>
            </w:r>
          </w:p>
        </w:tc>
        <w:tc>
          <w:tcPr/>
          <w:p>
            <w:pPr>
              <w:pStyle w:val="Compact"/>
            </w:pPr>
            <w:r>
              <w:t xml:space="preserve">Sensitivity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Outer-training partitions</w:t>
            </w:r>
          </w:p>
        </w:tc>
        <w:tc>
          <w:tcPr/>
          <w:p>
            <w:pPr>
              <w:pStyle w:val="Compact"/>
            </w:pPr>
            <w:r>
              <w:t xml:space="preserve">Nested candidate selection</w:t>
            </w:r>
          </w:p>
        </w:tc>
        <w:tc>
          <w:tcPr/>
          <w:p>
            <w:pPr>
              <w:pStyle w:val="Compact"/>
            </w:pPr>
            <w:r>
              <w:t xml:space="preserve">Test-informed selection</w:t>
            </w:r>
          </w:p>
        </w:tc>
        <w:tc>
          <w:tcPr/>
          <w:p>
            <w:pPr>
              <w:pStyle w:val="Compact"/>
            </w:pPr>
            <w:r>
              <w:t xml:space="preserve">Evaluation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Untouched outer test</w:t>
            </w:r>
          </w:p>
        </w:tc>
        <w:tc>
          <w:tcPr/>
          <w:p>
            <w:pPr>
              <w:pStyle w:val="Compact"/>
            </w:pPr>
            <w:r>
              <w:t xml:space="preserve">OOF probabilities; ordinal/class metrics</w:t>
            </w:r>
          </w:p>
        </w:tc>
        <w:tc>
          <w:tcPr/>
          <w:p>
            <w:pPr>
              <w:pStyle w:val="Compact"/>
            </w:pPr>
            <w:r>
              <w:t xml:space="preserve">Extreme-class collapse</w:t>
            </w:r>
          </w:p>
        </w:tc>
        <w:tc>
          <w:tcPr/>
          <w:p>
            <w:pPr>
              <w:pStyle w:val="Compact"/>
            </w:pPr>
            <w:r>
              <w:t xml:space="preserve">Bound aggregate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Cross-fitted training probabilities</w:t>
            </w:r>
          </w:p>
        </w:tc>
        <w:tc>
          <w:tcPr/>
          <w:p>
            <w:pPr>
              <w:pStyle w:val="Compact"/>
            </w:pPr>
            <w:r>
              <w:t xml:space="preserve">Predeclared sigmoid fit</w:t>
            </w:r>
          </w:p>
        </w:tc>
        <w:tc>
          <w:tcPr/>
          <w:p>
            <w:pPr>
              <w:pStyle w:val="Compact"/>
            </w:pPr>
            <w:r>
              <w:t xml:space="preserve">Outer-test fit/selection</w:t>
            </w:r>
          </w:p>
        </w:tc>
        <w:tc>
          <w:tcPr/>
          <w:p>
            <w:pPr>
              <w:pStyle w:val="Compact"/>
            </w:pPr>
            <w:r>
              <w:t xml:space="preserve">Calibration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Prediction-producing fold model</w:t>
            </w:r>
          </w:p>
        </w:tc>
        <w:tc>
          <w:tcPr/>
          <w:p>
            <w:pPr>
              <w:pStyle w:val="Compact"/>
            </w:pPr>
            <w:r>
              <w:t xml:space="preserve">Identity, additivity, stability, deletion</w:t>
            </w:r>
          </w:p>
        </w:tc>
        <w:tc>
          <w:tcPr/>
          <w:p>
            <w:pPr>
              <w:pStyle w:val="Compact"/>
            </w:pPr>
            <w:r>
              <w:t xml:space="preserve">Model mismatch</w:t>
            </w:r>
          </w:p>
        </w:tc>
        <w:tc>
          <w:tcPr/>
          <w:p>
            <w:pPr>
              <w:pStyle w:val="Compact"/>
            </w:pPr>
            <w:r>
              <w:t xml:space="preserve">No explanation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Subgroup/proxy</w:t>
            </w:r>
          </w:p>
        </w:tc>
        <w:tc>
          <w:tcPr/>
          <w:p>
            <w:pPr>
              <w:pStyle w:val="Compact"/>
            </w:pPr>
            <w:r>
              <w:t xml:space="preserve">Held-out outputs/categories</w:t>
            </w:r>
          </w:p>
        </w:tc>
        <w:tc>
          <w:tcPr/>
          <w:p>
            <w:pPr>
              <w:pStyle w:val="Compact"/>
            </w:pPr>
            <w:r>
              <w:t xml:space="preserve">Support, interval, distinct proxy questions</w:t>
            </w:r>
          </w:p>
        </w:tc>
        <w:tc>
          <w:tcPr/>
          <w:p>
            <w:pPr>
              <w:pStyle w:val="Compact"/>
            </w:pPr>
            <w:r>
              <w:t xml:space="preserve">Unsupported denominator</w:t>
            </w:r>
          </w:p>
        </w:tc>
        <w:tc>
          <w:tcPr/>
          <w:p>
            <w:pPr>
              <w:pStyle w:val="Compact"/>
            </w:pPr>
            <w:r>
              <w:t xml:space="preserve">Descriptive/not estimated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</w:t>
            </w:r>
          </w:p>
        </w:tc>
        <w:tc>
          <w:tcPr/>
          <w:p>
            <w:pPr>
              <w:pStyle w:val="Compact"/>
            </w:pPr>
            <w:r>
              <w:t xml:space="preserve">Separately fitted HR systems</w:t>
            </w:r>
          </w:p>
        </w:tc>
        <w:tc>
          <w:tcPr/>
          <w:p>
            <w:pPr>
              <w:pStyle w:val="Compact"/>
            </w:pPr>
            <w:r>
              <w:t xml:space="preserve">Target, folds, calibration, support</w:t>
            </w:r>
          </w:p>
        </w:tc>
        <w:tc>
          <w:tcPr/>
          <w:p>
            <w:pPr>
              <w:pStyle w:val="Compact"/>
            </w:pPr>
            <w:r>
              <w:t xml:space="preserve">Construct/transport conflation</w:t>
            </w:r>
          </w:p>
        </w:tc>
        <w:tc>
          <w:tcPr/>
          <w:p>
            <w:pPr>
              <w:pStyle w:val="Compact"/>
            </w:pPr>
            <w:r>
              <w:t xml:space="preserve">Partial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Aggregate source rows</w:t>
            </w:r>
          </w:p>
        </w:tc>
        <w:tc>
          <w:tcPr/>
          <w:p>
            <w:pPr>
              <w:pStyle w:val="Compact"/>
            </w:pPr>
            <w:r>
              <w:t xml:space="preserve">Selector, value, hash, qualifier</w:t>
            </w:r>
          </w:p>
        </w:tc>
        <w:tc>
          <w:tcPr/>
          <w:p>
            <w:pPr>
              <w:pStyle w:val="Compact"/>
            </w:pPr>
            <w:r>
              <w:t xml:space="preserve">Unresolved/stale number</w:t>
            </w:r>
          </w:p>
        </w:tc>
        <w:tc>
          <w:tcPr/>
          <w:p>
            <w:pPr>
              <w:pStyle w:val="Compact"/>
            </w:pPr>
            <w:r>
              <w:t xml:space="preserve">No numerical claim</w:t>
            </w:r>
          </w:p>
        </w:tc>
      </w:tr>
    </w:tbl>
    <w:bookmarkEnd w:id="15"/>
    <w:bookmarkStart w:id="22" w:name="Xd7b796fb9926352f860c006462abcb49d1379cf"/>
    <w:p>
      <w:pPr>
        <w:pStyle w:val="Heading1"/>
      </w:pPr>
      <w:r>
        <w:t xml:space="preserve">Table S6. Subgroup gap uncertainty and support</w:t>
      </w:r>
    </w:p>
    <w:p>
      <w:pPr>
        <w:pStyle w:val="FirstParagraph"/>
      </w:pPr>
      <w:r>
        <w:t xml:space="preserve">Intervals are 95% simultaneous exploratory intervals based on the studentized maximum absolute bootstrap deviation over all estimable prespecified P3 attribute, support-threshold, and metric gap cells. Eligibility is fixed before resampling; fitted-model variability is excluded. These diagnostics do not certify fairness.</w:t>
      </w:r>
    </w:p>
    <w:bookmarkStart w:id="16" w:name="age"/>
    <w:p>
      <w:pPr>
        <w:pStyle w:val="Heading2"/>
      </w:pPr>
      <w:r>
        <w:t xml:space="preserve">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Minimum group</w:t>
            </w:r>
          </w:p>
        </w:tc>
        <w:tc>
          <w:tcPr/>
          <w:p>
            <w:pPr>
              <w:pStyle w:val="Compact"/>
            </w:pPr>
            <w:r>
              <w:t xml:space="preserve">Maximum group</w:t>
            </w:r>
          </w:p>
        </w:tc>
        <w:tc>
          <w:tcPr/>
          <w:p>
            <w:pPr>
              <w:pStyle w:val="Compact"/>
            </w:pPr>
            <w:r>
              <w:t xml:space="preserve">Simultaneous low</w:t>
            </w:r>
          </w:p>
        </w:tc>
        <w:tc>
          <w:tcPr/>
          <w:p>
            <w:pPr>
              <w:pStyle w:val="Compact"/>
            </w:pPr>
            <w:r>
              <w:t xml:space="preserve">Simultaneous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0.0301</w:t>
            </w:r>
          </w:p>
        </w:tc>
        <w:tc>
          <w:tcPr/>
          <w:p>
            <w:pPr>
              <w:pStyle w:val="Compact"/>
            </w:pPr>
            <w:r>
              <w:t xml:space="preserve">30-39</w:t>
            </w:r>
          </w:p>
        </w:tc>
        <w:tc>
          <w:tcPr/>
          <w:p>
            <w:pPr>
              <w:pStyle w:val="Compact"/>
            </w:pPr>
            <w:r>
              <w:t xml:space="preserve">40-49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0.0653</w:t>
            </w:r>
          </w:p>
        </w:tc>
        <w:tc>
          <w:tcPr/>
          <w:p>
            <w:pPr>
              <w:pStyle w:val="Compact"/>
            </w:pPr>
            <w:r>
              <w:t xml:space="preserve">30-39</w:t>
            </w:r>
          </w:p>
        </w:tc>
        <w:tc>
          <w:tcPr/>
          <w:p>
            <w:pPr>
              <w:pStyle w:val="Compact"/>
            </w:pPr>
            <w:r>
              <w:t xml:space="preserve">50-59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0.3335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mae</w:t>
            </w:r>
          </w:p>
        </w:tc>
        <w:tc>
          <w:tcPr/>
          <w:p>
            <w:pPr>
              <w:pStyle w:val="Compact"/>
            </w:pPr>
            <w:r>
              <w:t xml:space="preserve">0.0770</w:t>
            </w:r>
          </w:p>
        </w:tc>
        <w:tc>
          <w:tcPr/>
          <w:p>
            <w:pPr>
              <w:pStyle w:val="Compact"/>
            </w:pPr>
            <w:r>
              <w:t xml:space="preserve">50-59</w:t>
            </w:r>
          </w:p>
        </w:tc>
        <w:tc>
          <w:tcPr/>
          <w:p>
            <w:pPr>
              <w:pStyle w:val="Compact"/>
            </w:pPr>
            <w:r>
              <w:t xml:space="preserve">30-39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</w:tr>
    </w:tbl>
    <w:bookmarkEnd w:id="16"/>
    <w:bookmarkStart w:id="17" w:name="gender"/>
    <w:p>
      <w:pPr>
        <w:pStyle w:val="Heading2"/>
      </w:pPr>
      <w:r>
        <w:t xml:space="preserve">Gender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Minimum group</w:t>
            </w:r>
          </w:p>
        </w:tc>
        <w:tc>
          <w:tcPr/>
          <w:p>
            <w:pPr>
              <w:pStyle w:val="Compact"/>
            </w:pPr>
            <w:r>
              <w:t xml:space="preserve">Maximum group</w:t>
            </w:r>
          </w:p>
        </w:tc>
        <w:tc>
          <w:tcPr/>
          <w:p>
            <w:pPr>
              <w:pStyle w:val="Compact"/>
            </w:pPr>
            <w:r>
              <w:t xml:space="preserve">Simultaneous low</w:t>
            </w:r>
          </w:p>
        </w:tc>
        <w:tc>
          <w:tcPr/>
          <w:p>
            <w:pPr>
              <w:pStyle w:val="Compact"/>
            </w:pPr>
            <w:r>
              <w:t xml:space="preserve">Simultaneous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0.0363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0.0527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0.2420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mae</w:t>
            </w:r>
          </w:p>
        </w:tc>
        <w:tc>
          <w:tcPr/>
          <w:p>
            <w:pPr>
              <w:pStyle w:val="Compact"/>
            </w:pPr>
            <w:r>
              <w:t xml:space="preserve">0.0508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0.1719</w:t>
            </w:r>
          </w:p>
        </w:tc>
      </w:tr>
    </w:tbl>
    <w:bookmarkEnd w:id="17"/>
    <w:bookmarkStart w:id="18" w:name="marital-status"/>
    <w:p>
      <w:pPr>
        <w:pStyle w:val="Heading2"/>
      </w:pPr>
      <w:r>
        <w:t xml:space="preserve">Marital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Minimum group</w:t>
            </w:r>
          </w:p>
        </w:tc>
        <w:tc>
          <w:tcPr/>
          <w:p>
            <w:pPr>
              <w:pStyle w:val="Compact"/>
            </w:pPr>
            <w:r>
              <w:t xml:space="preserve">Maximum group</w:t>
            </w:r>
          </w:p>
        </w:tc>
        <w:tc>
          <w:tcPr/>
          <w:p>
            <w:pPr>
              <w:pStyle w:val="Compact"/>
            </w:pPr>
            <w:r>
              <w:t xml:space="preserve">Simultaneous low</w:t>
            </w:r>
          </w:p>
        </w:tc>
        <w:tc>
          <w:tcPr/>
          <w:p>
            <w:pPr>
              <w:pStyle w:val="Compact"/>
            </w:pPr>
            <w:r>
              <w:t xml:space="preserve">Simultaneous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0.0101</w:t>
            </w:r>
          </w:p>
        </w:tc>
        <w:tc>
          <w:tcPr/>
          <w:p>
            <w:pPr>
              <w:pStyle w:val="Compact"/>
            </w:pPr>
            <w:r>
              <w:t xml:space="preserve">Married</w:t>
            </w:r>
          </w:p>
        </w:tc>
        <w:tc>
          <w:tcPr/>
          <w:p>
            <w:pPr>
              <w:pStyle w:val="Compact"/>
            </w:pPr>
            <w:r>
              <w:t xml:space="preserve">Divorced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0.0381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Married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0.2431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mae</w:t>
            </w:r>
          </w:p>
        </w:tc>
        <w:tc>
          <w:tcPr/>
          <w:p>
            <w:pPr>
              <w:pStyle w:val="Compact"/>
            </w:pPr>
            <w:r>
              <w:t xml:space="preserve">0.0291</w:t>
            </w:r>
          </w:p>
        </w:tc>
        <w:tc>
          <w:tcPr/>
          <w:p>
            <w:pPr>
              <w:pStyle w:val="Compact"/>
            </w:pPr>
            <w:r>
              <w:t xml:space="preserve">Divorced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0.1485</w:t>
            </w:r>
          </w:p>
        </w:tc>
      </w:tr>
    </w:tbl>
    <w:bookmarkEnd w:id="18"/>
    <w:bookmarkStart w:id="19" w:name="business-travel"/>
    <w:p>
      <w:pPr>
        <w:pStyle w:val="Heading2"/>
      </w:pPr>
      <w:r>
        <w:t xml:space="preserve">Business Travel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Minimum group</w:t>
            </w:r>
          </w:p>
        </w:tc>
        <w:tc>
          <w:tcPr/>
          <w:p>
            <w:pPr>
              <w:pStyle w:val="Compact"/>
            </w:pPr>
            <w:r>
              <w:t xml:space="preserve">Maximum group</w:t>
            </w:r>
          </w:p>
        </w:tc>
        <w:tc>
          <w:tcPr/>
          <w:p>
            <w:pPr>
              <w:pStyle w:val="Compact"/>
            </w:pPr>
            <w:r>
              <w:t xml:space="preserve">Simultaneous low</w:t>
            </w:r>
          </w:p>
        </w:tc>
        <w:tc>
          <w:tcPr/>
          <w:p>
            <w:pPr>
              <w:pStyle w:val="Compact"/>
            </w:pPr>
            <w:r>
              <w:t xml:space="preserve">Simultaneous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0.0528</w:t>
            </w:r>
          </w:p>
        </w:tc>
        <w:tc>
          <w:tcPr/>
          <w:p>
            <w:pPr>
              <w:pStyle w:val="Compact"/>
            </w:pPr>
            <w:r>
              <w:t xml:space="preserve">Travel Frequently</w:t>
            </w:r>
          </w:p>
        </w:tc>
        <w:tc>
          <w:tcPr/>
          <w:p>
            <w:pPr>
              <w:pStyle w:val="Compact"/>
            </w:pPr>
            <w:r>
              <w:t xml:space="preserve">Travel Rarely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0.0711</w:t>
            </w:r>
          </w:p>
        </w:tc>
        <w:tc>
          <w:tcPr/>
          <w:p>
            <w:pPr>
              <w:pStyle w:val="Compact"/>
            </w:pPr>
            <w:r>
              <w:t xml:space="preserve">Travel Frequently</w:t>
            </w:r>
          </w:p>
        </w:tc>
        <w:tc>
          <w:tcPr/>
          <w:p>
            <w:pPr>
              <w:pStyle w:val="Compact"/>
            </w:pPr>
            <w:r>
              <w:t xml:space="preserve">Travel Rarely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0.3472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mae</w:t>
            </w:r>
          </w:p>
        </w:tc>
        <w:tc>
          <w:tcPr/>
          <w:p>
            <w:pPr>
              <w:pStyle w:val="Compact"/>
            </w:pPr>
            <w:r>
              <w:t xml:space="preserve">0.0613</w:t>
            </w:r>
          </w:p>
        </w:tc>
        <w:tc>
          <w:tcPr/>
          <w:p>
            <w:pPr>
              <w:pStyle w:val="Compact"/>
            </w:pPr>
            <w:r>
              <w:t xml:space="preserve">Travel Rarely</w:t>
            </w:r>
          </w:p>
        </w:tc>
        <w:tc>
          <w:tcPr/>
          <w:p>
            <w:pPr>
              <w:pStyle w:val="Compact"/>
            </w:pPr>
            <w:r>
              <w:t xml:space="preserve">Travel Frequently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0.2195</w:t>
            </w:r>
          </w:p>
        </w:tc>
      </w:tr>
    </w:tbl>
    <w:bookmarkEnd w:id="19"/>
    <w:bookmarkStart w:id="20" w:name="department"/>
    <w:p>
      <w:pPr>
        <w:pStyle w:val="Heading2"/>
      </w:pPr>
      <w:r>
        <w:t xml:space="preserve">Department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Minimum group</w:t>
            </w:r>
          </w:p>
        </w:tc>
        <w:tc>
          <w:tcPr/>
          <w:p>
            <w:pPr>
              <w:pStyle w:val="Compact"/>
            </w:pPr>
            <w:r>
              <w:t xml:space="preserve">Maximum group</w:t>
            </w:r>
          </w:p>
        </w:tc>
        <w:tc>
          <w:tcPr/>
          <w:p>
            <w:pPr>
              <w:pStyle w:val="Compact"/>
            </w:pPr>
            <w:r>
              <w:t xml:space="preserve">Simultaneous low</w:t>
            </w:r>
          </w:p>
        </w:tc>
        <w:tc>
          <w:tcPr/>
          <w:p>
            <w:pPr>
              <w:pStyle w:val="Compact"/>
            </w:pPr>
            <w:r>
              <w:t xml:space="preserve">Simultaneous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0.2179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0.4388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Research &amp; Development</w:t>
            </w:r>
          </w:p>
        </w:tc>
        <w:tc>
          <w:tcPr/>
          <w:p>
            <w:pPr>
              <w:pStyle w:val="Compact"/>
            </w:pPr>
            <w:r>
              <w:t xml:space="preserve">0.1275</w:t>
            </w:r>
          </w:p>
        </w:tc>
        <w:tc>
          <w:tcPr/>
          <w:p>
            <w:pPr>
              <w:pStyle w:val="Compact"/>
            </w:pPr>
            <w:r>
              <w:t xml:space="preserve">0.7501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mae</w:t>
            </w:r>
          </w:p>
        </w:tc>
        <w:tc>
          <w:tcPr/>
          <w:p>
            <w:pPr>
              <w:pStyle w:val="Compact"/>
            </w:pPr>
            <w:r>
              <w:t xml:space="preserve">0.1193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0.3687</w:t>
            </w:r>
          </w:p>
        </w:tc>
      </w:tr>
    </w:tbl>
    <w:bookmarkEnd w:id="20"/>
    <w:bookmarkStart w:id="21" w:name="education-background"/>
    <w:p>
      <w:pPr>
        <w:pStyle w:val="Heading2"/>
      </w:pPr>
      <w:r>
        <w:t xml:space="preserve">Education Background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Minimum group</w:t>
            </w:r>
          </w:p>
        </w:tc>
        <w:tc>
          <w:tcPr/>
          <w:p>
            <w:pPr>
              <w:pStyle w:val="Compact"/>
            </w:pPr>
            <w:r>
              <w:t xml:space="preserve">Maximum group</w:t>
            </w:r>
          </w:p>
        </w:tc>
        <w:tc>
          <w:tcPr/>
          <w:p>
            <w:pPr>
              <w:pStyle w:val="Compact"/>
            </w:pPr>
            <w:r>
              <w:t xml:space="preserve">Simultaneous low</w:t>
            </w:r>
          </w:p>
        </w:tc>
        <w:tc>
          <w:tcPr/>
          <w:p>
            <w:pPr>
              <w:pStyle w:val="Compact"/>
            </w:pPr>
            <w:r>
              <w:t xml:space="preserve">Simultaneous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0.0413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Medical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0.3766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 weighted kappa</w:t>
            </w:r>
          </w:p>
        </w:tc>
        <w:tc>
          <w:tcPr/>
          <w:p>
            <w:pPr>
              <w:pStyle w:val="Compact"/>
            </w:pPr>
            <w:r>
              <w:t xml:space="preserve">0.1190</w:t>
            </w:r>
          </w:p>
        </w:tc>
        <w:tc>
          <w:tcPr/>
          <w:p>
            <w:pPr>
              <w:pStyle w:val="Compact"/>
            </w:pPr>
            <w:r>
              <w:t xml:space="preserve">Technical Degree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mae</w:t>
            </w:r>
          </w:p>
        </w:tc>
        <w:tc>
          <w:tcPr/>
          <w:p>
            <w:pPr>
              <w:pStyle w:val="Compact"/>
            </w:pPr>
            <w:r>
              <w:t xml:space="preserve">0.0891</w:t>
            </w:r>
          </w:p>
        </w:tc>
        <w:tc>
          <w:tcPr/>
          <w:p>
            <w:pPr>
              <w:pStyle w:val="Compact"/>
            </w:pPr>
            <w:r>
              <w:t xml:space="preserve">Medical</w:t>
            </w:r>
          </w:p>
        </w:tc>
        <w:tc>
          <w:tcPr/>
          <w:p>
            <w:pPr>
              <w:pStyle w:val="Compact"/>
            </w:pPr>
            <w:r>
              <w:t xml:space="preserve">Technical Degree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0.3211</w:t>
            </w:r>
          </w:p>
        </w:tc>
      </w:tr>
    </w:tbl>
    <w:p>
      <w:pPr>
        <w:pStyle w:val="BodyText"/>
      </w:pPr>
      <w:r>
        <w:t xml:space="preserve">The exact support counts, pointwise intervals, resample counts, source identities, and claim boundaries appear in</w:t>
      </w:r>
      <w:r>
        <w:t xml:space="preserve"> </w:t>
      </w:r>
      <w:r>
        <w:rPr>
          <w:rStyle w:val="VerbatimChar"/>
        </w:rPr>
        <w:t xml:space="preserve">tables/Table_S6.csv</w:t>
      </w:r>
      <w:r>
        <w:t xml:space="preserve">.</w:t>
      </w:r>
    </w:p>
    <w:bookmarkEnd w:id="21"/>
    <w:bookmarkEnd w:id="22"/>
    <w:bookmarkStart w:id="23" w:name="X3c5a72897ab809b67d5008960f3d38430350e84"/>
    <w:p>
      <w:pPr>
        <w:pStyle w:val="Heading1"/>
      </w:pPr>
      <w:r>
        <w:t xml:space="preserve">Table S7. Selection-objective confusion matrices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cumulative threshold 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proportional odds logistic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qwk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exact table, including the dataset key, is</w:t>
      </w:r>
      <w:r>
        <w:t xml:space="preserve"> </w:t>
      </w:r>
      <w:r>
        <w:rPr>
          <w:rStyle w:val="VerbatimChar"/>
        </w:rPr>
        <w:t xml:space="preserve">tables/Table_S7.csv</w:t>
      </w:r>
      <w:r>
        <w:t xml:space="preserve">.</w:t>
      </w:r>
    </w:p>
    <w:bookmarkEnd w:id="23"/>
    <w:bookmarkStart w:id="36" w:name="table-s8.-bounded-literature-comparison"/>
    <w:p>
      <w:pPr>
        <w:pStyle w:val="Heading1"/>
      </w:pPr>
      <w:r>
        <w:t xml:space="preserve">Table S8. Bounded literature comparison</w:t>
      </w:r>
    </w:p>
    <w:bookmarkStart w:id="24" w:name="li-et-al.-2021"/>
    <w:p>
      <w:pPr>
        <w:pStyle w:val="Heading2"/>
      </w:pPr>
      <w:r>
        <w:t xml:space="preserve">Li et al. (2021)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Employee-performance classification; Three linked internal HR tables from a publishing organization.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Logistic regression; decision tree; naive Bayes; Permutation importance reported.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Organization-specific comparison; present work joins ordinal failure analysis to an explicit evidence contract. Official proceedings PDF; no claim of an exhaustive absence audit.</w:t>
      </w:r>
    </w:p>
    <w:bookmarkEnd w:id="24"/>
    <w:bookmarkStart w:id="25" w:name="adeniyi-et-al.-2022"/>
    <w:p>
      <w:pPr>
        <w:pStyle w:val="Heading2"/>
      </w:pPr>
      <w:r>
        <w:t xml:space="preserve">Adeniyi et al. (2022)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Employee-performance classification; Public HR table with 311 rows and 36 attributes.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PCA; ANN; RF; DT; reported 80:20 split; not_reported_in_accessible_source.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Present work separately audits target aliases, target mapping and training-only evaluation. Publisher full text. Existing title retained over conflicting Crossref deposit.</w:t>
      </w:r>
    </w:p>
    <w:bookmarkEnd w:id="25"/>
    <w:bookmarkStart w:id="26" w:name="putri-and-sitohang-2026"/>
    <w:p>
      <w:pPr>
        <w:pStyle w:val="Heading2"/>
      </w:pPr>
      <w:r>
        <w:t xml:space="preserve">Putri and Sitohang (2026)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Employee-performance classification; INX employee data.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Random Forest; multiple train/test proportions; Feature importance.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Present work separates nested candidate selection from final evaluation and audits metric-specific extreme-class failures. Publisher PDF methods/results; non-reporting is not proof of absence.</w:t>
      </w:r>
    </w:p>
    <w:bookmarkEnd w:id="26"/>
    <w:bookmarkStart w:id="27" w:name="löfström-et-al.-2024"/>
    <w:p>
      <w:pPr>
        <w:pStyle w:val="Heading2"/>
      </w:pPr>
      <w:r>
        <w:t xml:space="preserve">Löfström et al. (2024)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Reliable local explanations with uncertainty; 25 benchmark datasets.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Calibrated Explanations based on Venn-Abers; Conditional feature explanations and counterfactuals.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A new explanation method; present study audits existing exact-model SHAP and a declared probability-calibration path. Publisher abstract and metadata; do not infer unseen evaluation controls.</w:t>
      </w:r>
    </w:p>
    <w:bookmarkEnd w:id="27"/>
    <w:bookmarkStart w:id="28" w:name="sepúlveda-et-al.-2025"/>
    <w:p>
      <w:pPr>
        <w:pStyle w:val="Heading2"/>
      </w:pPr>
      <w:r>
        <w:t xml:space="preserve">Sepúlveda et al. (2025)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Stability of local interpretability; Synthetic and real anomaly-detection data.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Top-rank-weighted stability measure; SHAP-based feature-ranking consistency under small changes.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Local perturbation stability differs from fold/seed/training-resample comparisons and model-level deletion in the present audit. Publisher abstract and section excerpts.</w:t>
      </w:r>
    </w:p>
    <w:bookmarkEnd w:id="28"/>
    <w:bookmarkStart w:id="29" w:name="manafi-varkiani-et-al.-2025"/>
    <w:p>
      <w:pPr>
        <w:pStyle w:val="Heading2"/>
      </w:pPr>
      <w:r>
        <w:t xml:space="preserve">Manafi Varkiani et al. (2025)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Employee attrition and contextual explanation; Italian financial-company employee records.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Machine-learning case study; Random Forest explanation; SHAP contribution magnitude and direction.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Strong HR-XAI precedent; different outcome and organization, without evidence of the present shared audit contract in accessible material. Publisher abstract and available methods excerpts.</w:t>
      </w:r>
    </w:p>
    <w:bookmarkEnd w:id="29"/>
    <w:bookmarkStart w:id="30" w:name="rass-and-dallinger-2026"/>
    <w:p>
      <w:pPr>
        <w:pStyle w:val="Heading2"/>
      </w:pPr>
      <w:r>
        <w:t xml:space="preserve">Rass and Dallinger (2026)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Detecting unwanted patterns in training data; Real-life and synthetic datasets.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Prespecified rules; fuzzy reasoning; regression significance tests; Rule-based explainability.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Proposes data-testing machinery; present study evaluates how multiple system-audit views constrain claims on fixed HR evidence. Publisher abstract and metadata; final publication year 2026 despite DOI containing 2025.</w:t>
      </w:r>
    </w:p>
    <w:bookmarkEnd w:id="30"/>
    <w:bookmarkStart w:id="31" w:name="abusitta-et-al.-2024"/>
    <w:p>
      <w:pPr>
        <w:pStyle w:val="Heading2"/>
      </w:pPr>
      <w:r>
        <w:t xml:space="preserve">Abusitta et al. (2024)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Taxonomy and limitations of XAI; Literature survey.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Review and comparative taxonomy; Central topic.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General XAI guidance; present paper must show a concrete operational audit rather than treat a component list as novelty. Publisher abstract and section excerpts; not a benchmark competitor.</w:t>
      </w:r>
    </w:p>
    <w:bookmarkEnd w:id="31"/>
    <w:bookmarkStart w:id="32" w:name="kapoor-et-al.-2024-reforms"/>
    <w:p>
      <w:pPr>
        <w:pStyle w:val="Heading2"/>
      </w:pPr>
      <w:r>
        <w:t xml:space="preserve">Kapoor et al. (2024), REFORMS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Reporting and reproducibility of ML-based science; Consensus and methodological literature.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Checklist and guidelines; Reporting context.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Important prior protocol. Present contribution should be the executable linkage plus empirical interactions among audit findings, not the invention of transparent evaluation. Author-maintained project and registered Science Advances metadata.</w:t>
      </w:r>
    </w:p>
    <w:bookmarkEnd w:id="32"/>
    <w:bookmarkStart w:id="33" w:name="bar-gil-et-al.-2024"/>
    <w:p>
      <w:pPr>
        <w:pStyle w:val="Heading2"/>
      </w:pPr>
      <w:r>
        <w:t xml:space="preserve">Bar-Gil et al. (2024)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Embedding AI ethics in HR analytics; Two organizational HR case studies.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Comparative case-study analysis; Organizational governance context.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Shows why technical diagnostics cannot settle organizational governance or employee consequences. Publisher abstract and full-text excerpts.</w:t>
      </w:r>
    </w:p>
    <w:bookmarkEnd w:id="33"/>
    <w:bookmarkStart w:id="34" w:name="lones-2024"/>
    <w:p>
      <w:pPr>
        <w:pStyle w:val="Heading2"/>
      </w:pPr>
      <w:r>
        <w:t xml:space="preserve">Lones (2024)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Avoiding common ML practice errors; Tutorial and examples.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Practical methodological guidance; Interpretation guidance.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Broad practical precedent; present study instantiates connected checks in an ordinal HR setting. Publisher tutorial identity and abstract; individual empirical comparisons are not inferred.</w:t>
      </w:r>
    </w:p>
    <w:bookmarkEnd w:id="34"/>
    <w:bookmarkStart w:id="35" w:name="present-study"/>
    <w:p>
      <w:pPr>
        <w:pStyle w:val="Heading2"/>
      </w:pPr>
      <w:r>
        <w:t xml:space="preserve">Present study</w:t>
      </w:r>
    </w:p>
    <w:p>
      <w:pPr>
        <w:pStyle w:val="FirstParagraph"/>
      </w:pPr>
      <w:r>
        <w:rPr>
          <w:b/>
          <w:bCs/>
        </w:rPr>
        <w:t xml:space="preserve">Problem and evidence:</w:t>
      </w:r>
      <w:r>
        <w:t xml:space="preserve"> </w:t>
      </w:r>
      <w:r>
        <w:t xml:space="preserve">Auditing ordinal employee-performance prediction; INX; partial HRDataset_v14 protocol replication.</w:t>
      </w:r>
      <w:r>
        <w:t xml:space="preserve"> </w:t>
      </w:r>
      <w:r>
        <w:rPr>
          <w:b/>
          <w:bCs/>
        </w:rPr>
        <w:t xml:space="preserve">Method and XAI:</w:t>
      </w:r>
      <w:r>
        <w:t xml:space="preserve"> </w:t>
      </w:r>
      <w:r>
        <w:t xml:space="preserve">Nested benchmark; objective/policy sensitivities; exact evidence identities; Exact-model grouped SHAP; stability; model-level deletion.</w:t>
      </w:r>
      <w:r>
        <w:t xml:space="preserve"> </w:t>
      </w:r>
      <w:r>
        <w:rPr>
          <w:b/>
          <w:bCs/>
        </w:rPr>
        <w:t xml:space="preserve">Boundary relative to this study:</w:t>
      </w:r>
      <w:r>
        <w:t xml:space="preserve"> </w:t>
      </w:r>
      <w:r>
        <w:t xml:space="preserve">Integration links conflicting findings to the evaluated system; no new predictor or deployment claim. Frozen claim boundary; not an additional experimental result.</w:t>
      </w:r>
    </w:p>
    <w:p>
      <w:pPr>
        <w:pStyle w:val="BodyText"/>
      </w:pPr>
      <w:r>
        <w:t xml:space="preserve">The full comparison dimensions and official-source links appear in</w:t>
      </w:r>
      <w:r>
        <w:t xml:space="preserve"> </w:t>
      </w:r>
      <w:r>
        <w:rPr>
          <w:rStyle w:val="VerbatimChar"/>
        </w:rPr>
        <w:t xml:space="preserve">tables/Table_S8.csv</w:t>
      </w:r>
      <w:r>
        <w:t xml:space="preserve">.</w:t>
      </w:r>
    </w:p>
    <w:bookmarkEnd w:id="35"/>
    <w:bookmarkEnd w:id="36"/>
    <w:bookmarkStart w:id="37" w:name="numerical-evidence-ledger"/>
    <w:p>
      <w:pPr>
        <w:pStyle w:val="Heading1"/>
      </w:pPr>
      <w:r>
        <w:t xml:space="preserve">Numerical evidence ledger</w:t>
      </w:r>
    </w:p>
    <w:p>
      <w:pPr>
        <w:pStyle w:val="FirstParagraph"/>
      </w:pPr>
      <w:r>
        <w:t xml:space="preserve">The machine-readable ledger and its twenty anonymous aggregate source tables are supplied in the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directory.</w:t>
      </w:r>
      <w:r>
        <w:t xml:space="preserve"> </w:t>
      </w:r>
      <w:r>
        <w:rPr>
          <w:rStyle w:val="VerbatimChar"/>
        </w:rPr>
        <w:t xml:space="preserve">SOURCE_INDEX.csv</w:t>
      </w:r>
      <w:r>
        <w:t xml:space="preserve"> </w:t>
      </w:r>
      <w:r>
        <w:t xml:space="preserve">records every anonymous source hash. The ledger preserves exact values, selectors, rounding, required qualifiers, and prohibited interpretations for the 99 active numerical claims.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/>
  <cp:keywords/>
  <dcterms:created xsi:type="dcterms:W3CDTF">2026-09-09T17:57:29Z</dcterms:created>
  <dcterms:modified xsi:type="dcterms:W3CDTF">2026-09-09T17:57:29Z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