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before="0" w:after="40" w:line="240" w:lineRule="exact"/>
        <w:jc w:val="center"/>
      </w:pPr>
      <w:r>
        <w:rPr>
          <w:rFonts w:ascii="Times New Roman" w:hAnsi="Times New Roman" w:cs="Times New Roman"/>
          <w:rFonts w:ascii="Times New Roman" w:hAnsi="Times New Roman"/>
          <w:b/>
          <w:i w:val="0"/>
          <w:sz w:val="28"/>
        </w:rPr>
        <w:t>Minimum Noise Fraction with Multi-Directional Noise Estimation</w:t>
      </w:r>
    </w:p>
    <w:p>
      <w:pPr>
        <w:spacing w:before="0" w:after="280" w:line="240" w:lineRule="exact"/>
        <w:jc w:val="center"/>
      </w:pPr>
      <w:r>
        <w:rPr>
          <w:rFonts w:ascii="Times New Roman" w:hAnsi="Times New Roman" w:cs="Times New Roman"/>
          <w:rFonts w:ascii="Times New Roman" w:hAnsi="Times New Roman"/>
          <w:b/>
          <w:i w:val="0"/>
          <w:sz w:val="28"/>
        </w:rPr>
        <w:t>for Denoising Hyperspectral Imagery</w:t>
      </w:r>
    </w:p>
    <w:p>
      <w:pPr>
        <w:spacing w:before="0" w:after="40" w:line="240" w:lineRule="exact"/>
        <w:jc w:val="center"/>
      </w:pPr>
      <w:r>
        <w:rPr>
          <w:rFonts w:ascii="Times New Roman" w:hAnsi="Times New Roman" w:cs="Times New Roman"/>
          <w:rFonts w:ascii="Times New Roman" w:hAnsi="Times New Roman"/>
          <w:b w:val="0"/>
          <w:i w:val="0"/>
          <w:sz w:val="24"/>
        </w:rPr>
        <w:t>Siddharth Baudh</w:t>
      </w:r>
    </w:p>
    <w:p>
      <w:pPr>
        <w:spacing w:before="0" w:after="160" w:line="240" w:lineRule="exact"/>
        <w:jc w:val="center"/>
      </w:pPr>
      <w:r>
        <w:rPr>
          <w:rFonts w:ascii="Times New Roman" w:hAnsi="Times New Roman" w:cs="Times New Roman"/>
          <w:rFonts w:ascii="Times New Roman" w:hAnsi="Times New Roman"/>
          <w:b w:val="0"/>
          <w:i w:val="0"/>
          <w:sz w:val="24"/>
        </w:rPr>
        <w:t>Defence Geoinformatics Research Establishment, Chandigarh, India</w:t>
      </w:r>
    </w:p>
    <w:p>
      <w:pPr>
        <w:spacing w:before="0" w:after="40" w:line="240" w:lineRule="exact"/>
        <w:jc w:val="center"/>
      </w:pPr>
      <w:r>
        <w:rPr>
          <w:rFonts w:ascii="Times New Roman" w:hAnsi="Times New Roman" w:cs="Times New Roman"/>
          <w:rFonts w:ascii="Times New Roman" w:hAnsi="Times New Roman"/>
          <w:b w:val="0"/>
          <w:i w:val="0"/>
          <w:sz w:val="24"/>
        </w:rPr>
        <w:t>Kamal Deep</w:t>
      </w:r>
    </w:p>
    <w:p>
      <w:pPr>
        <w:spacing w:before="0" w:after="280" w:line="240" w:lineRule="exact"/>
        <w:jc w:val="center"/>
      </w:pPr>
      <w:r>
        <w:rPr>
          <w:rFonts w:ascii="Times New Roman" w:hAnsi="Times New Roman" w:cs="Times New Roman"/>
          <w:rFonts w:ascii="Times New Roman" w:hAnsi="Times New Roman"/>
          <w:b w:val="0"/>
          <w:i w:val="0"/>
          <w:sz w:val="24"/>
        </w:rPr>
        <w:t>Defence Geoinformatics Research Establishment, Chandigarh, India</w:t>
      </w:r>
    </w:p>
    <w:p>
      <w:pPr>
        <w:spacing w:before="0" w:after="40" w:line="240" w:lineRule="exact"/>
        <w:jc w:val="center"/>
      </w:pPr>
      <w:r>
        <w:rPr>
          <w:rFonts w:ascii="Times New Roman" w:hAnsi="Times New Roman" w:cs="Times New Roman"/>
          <w:rFonts w:ascii="Times New Roman" w:hAnsi="Times New Roman"/>
          <w:b/>
          <w:i w:val="0"/>
          <w:sz w:val="24"/>
        </w:rPr>
        <w:t>Abstract</w:t>
      </w:r>
    </w:p>
    <w:p>
      <w:pPr>
        <w:spacing w:before="0" w:after="120" w:line="240" w:lineRule="exact"/>
        <w:ind w:firstLine="425"/>
        <w:jc w:val="both"/>
      </w:pPr>
      <w:r>
        <w:rPr>
          <w:rFonts w:ascii="Times New Roman" w:hAnsi="Times New Roman" w:cs="Times New Roman"/>
          <w:rFonts w:ascii="Times New Roman" w:hAnsi="Times New Roman"/>
          <w:b w:val="0"/>
          <w:i w:val="0"/>
          <w:sz w:val="24"/>
        </w:rPr>
        <w:t>The Minimum Noise Fraction (MNF) transform is a widely used method for noise reduction in hyperspectral imaging; conventional one-dimensional noise estimation techniques fail to consider correlation among neighbouring pixels, reducing their ability to model noise effectively. Additionally, the standard MNF approach often struggles with low-variance spectral bands due to singular covariance matrices. To address these challenges, the present work introduces a Python-based MNF library that incorporates a Three-Pixel Noise Estimation (TPNE) method, which captures noise in multiple spatial directions, and a Four-Pixel Noise Estimation (4PNE) method that extends TPNE with an additional directional component. The library also integrates an adaptive regularisation scheme for stable covariance inversion. Experimental results on a high-resolution reflectance hyperspectral dataset (40 bands, 2199 × 1280 pixels) demonstrate that both TPNE and 4PNE consistently improve noise suppression in 100% of spectral bands, with TPNE outperforming the conventional next-pixel approach on SNR gain in 35 of 40 bands.</w:t>
      </w:r>
    </w:p>
    <w:p>
      <w:pPr>
        <w:spacing w:before="0" w:after="200" w:line="240" w:lineRule="exact"/>
        <w:jc w:val="both"/>
      </w:pPr>
      <w:r>
        <w:rPr>
          <w:rFonts w:ascii="Times New Roman" w:hAnsi="Times New Roman" w:cs="Times New Roman"/>
          <w:rFonts w:ascii="Times New Roman" w:hAnsi="Times New Roman"/>
          <w:b/>
          <w:i w:val="0"/>
          <w:sz w:val="24"/>
        </w:rPr>
        <w:t xml:space="preserve">Keywords: </w:t>
      </w:r>
      <w:r>
        <w:rPr>
          <w:rFonts w:ascii="Times New Roman" w:hAnsi="Times New Roman" w:cs="Times New Roman"/>
          <w:rFonts w:ascii="Times New Roman" w:hAnsi="Times New Roman"/>
          <w:b w:val="0"/>
          <w:i w:val="0"/>
          <w:sz w:val="24"/>
        </w:rPr>
        <w:t>MNF, Denoising, Hyperspectral Imaging, Multi-Directional Noise, Remote Sensing, SNR, SSIM, PSNR</w:t>
      </w:r>
    </w:p>
    <w:p>
      <w:pPr>
        <w:spacing w:before="240" w:after="120" w:line="280" w:lineRule="exact"/>
        <w:jc w:val="left"/>
      </w:pPr>
      <w:r>
        <w:rPr>
          <w:rFonts w:ascii="Times New Roman" w:hAnsi="Times New Roman" w:cs="Times New Roman"/>
          <w:rFonts w:ascii="Times New Roman" w:hAnsi="Times New Roman"/>
          <w:b/>
          <w:i w:val="0"/>
          <w:sz w:val="28"/>
        </w:rPr>
        <w:t>1  Introduction</w:t>
      </w:r>
    </w:p>
    <w:p>
      <w:pPr>
        <w:spacing w:before="0" w:after="120" w:line="240" w:lineRule="exact"/>
        <w:ind w:firstLine="425"/>
        <w:jc w:val="both"/>
      </w:pPr>
      <w:r>
        <w:rPr>
          <w:rFonts w:ascii="Times New Roman" w:hAnsi="Times New Roman" w:cs="Times New Roman"/>
          <w:rFonts w:ascii="Times New Roman" w:hAnsi="Times New Roman"/>
          <w:b w:val="0"/>
          <w:i w:val="0"/>
          <w:sz w:val="24"/>
        </w:rPr>
        <w:t>Principal Components (PC) transformation [1] has long been used for compression, visualisation, and enhancement of multispectral remote sensing data. However, as highlighted by Green [2] in the seminal work, PC transformation does not always produce components ordered by image quality, particularly when noise levels vary across spectral bands. To address this limitation, Green et al. introduced the Minimum Noise Fraction (MNF) transform, which orders components based on their signal-to-noise ratio (SNR) rather than variance. Due to this property, MNF became a widely used technique for noise reduction and dimensionality reduction [3] in hyperspectral image analysis [4].</w:t>
      </w:r>
    </w:p>
    <w:p>
      <w:pPr>
        <w:spacing w:before="0" w:after="120" w:line="240" w:lineRule="exact"/>
        <w:ind w:firstLine="425"/>
        <w:jc w:val="both"/>
      </w:pPr>
      <w:r>
        <w:rPr>
          <w:rFonts w:ascii="Times New Roman" w:hAnsi="Times New Roman" w:cs="Times New Roman"/>
          <w:rFonts w:ascii="Times New Roman" w:hAnsi="Times New Roman"/>
          <w:b w:val="0"/>
          <w:i w:val="0"/>
          <w:sz w:val="24"/>
        </w:rPr>
        <w:t>Despite its effectiveness, conventional MNF implementations exhibited certain practical limitations. One key issue lay in noise estimation, where noise was typically estimated using only next-pixel (horizontal) differences. This approach did not consider noise variations present in other spatial directions and ignored neighbouring pixels. As a result, the estimated noise covariance matrix did not fully capture the true spatial noise characteristics of hyperspectral images. In addition, when the spectral bands exhibited strong correlation or were nearly homogeneous, the data covariance matrix became ill-conditioned or even singular. Under such circumstances, the standard MNF eigen-decomposition could fail to converge or produce unreliable results, thereby limiting its applicability in practical hyperspectral processing workflows.</w:t>
      </w:r>
    </w:p>
    <w:p>
      <w:pPr>
        <w:spacing w:before="0" w:after="120" w:line="240" w:lineRule="exact"/>
        <w:ind w:firstLine="425"/>
        <w:jc w:val="both"/>
      </w:pPr>
      <w:r>
        <w:rPr>
          <w:rFonts w:ascii="Times New Roman" w:hAnsi="Times New Roman" w:cs="Times New Roman"/>
          <w:rFonts w:ascii="Times New Roman" w:hAnsi="Times New Roman"/>
          <w:b w:val="0"/>
          <w:i w:val="0"/>
          <w:sz w:val="24"/>
        </w:rPr>
        <w:t>In this work, these limitations were addressed by incorporating a neighbour-pixel-based noise estimation approach, in which spatial neighbours were taken into account during noise matrix calculation. In addition, regularisation strategies were integrated to mitigate ill-conditioning and numerical instability arising from highly correlated or nearly homogeneous spectral bands. This improved noise estimation and stabilisation framework led to a more reliable noise covariance matrix and enhanced the stability and performance of the MNF transform, particularly in line-scanning-based imaging.</w:t>
      </w:r>
    </w:p>
    <w:p>
      <w:pPr>
        <w:spacing w:before="0" w:after="120" w:line="240" w:lineRule="exact"/>
        <w:ind w:firstLine="425"/>
        <w:jc w:val="both"/>
      </w:pPr>
      <w:r>
        <w:rPr>
          <w:rFonts w:ascii="Times New Roman" w:hAnsi="Times New Roman" w:cs="Times New Roman"/>
          <w:rFonts w:ascii="Times New Roman" w:hAnsi="Times New Roman"/>
          <w:b w:val="0"/>
          <w:i w:val="0"/>
          <w:sz w:val="24"/>
        </w:rPr>
        <w:t>To validate the proposed noise estimation technique, a comparative analysis was carried out with the conventional next-pixel method (NPNE) under both Global MNF and Line-by-Line (LBL) [5][6] processing architectures. The results demonstrated that the LBL approach consistently improved a larger number of spectral bands when a limited number of leading eigenvectors were used, while achieving comparable or better numerical improvement than the conventional MNF approach. These findings demonstrated the effectiveness of the proposed neighbour-pixel noise estimation method for hyperspectral image denoising in both batch and real-time processing [7] frameworks.</w:t>
      </w:r>
    </w:p>
    <w:p>
      <w:pPr>
        <w:spacing w:before="240" w:after="120" w:line="280" w:lineRule="exact"/>
        <w:jc w:val="left"/>
      </w:pPr>
      <w:r>
        <w:rPr>
          <w:rFonts w:ascii="Times New Roman" w:hAnsi="Times New Roman" w:cs="Times New Roman"/>
          <w:rFonts w:ascii="Times New Roman" w:hAnsi="Times New Roman"/>
          <w:b/>
          <w:i w:val="0"/>
          <w:sz w:val="28"/>
        </w:rPr>
        <w:t>2  Background</w:t>
      </w:r>
    </w:p>
    <w:p>
      <w:pPr>
        <w:spacing w:before="0" w:after="120" w:line="240" w:lineRule="exact"/>
        <w:ind w:firstLine="425"/>
        <w:jc w:val="both"/>
      </w:pPr>
      <w:r>
        <w:rPr>
          <w:rFonts w:ascii="Times New Roman" w:hAnsi="Times New Roman" w:cs="Times New Roman"/>
          <w:rFonts w:ascii="Times New Roman" w:hAnsi="Times New Roman"/>
          <w:b w:val="0"/>
          <w:i w:val="0"/>
          <w:sz w:val="24"/>
        </w:rPr>
        <w:t>Hyperspectral imaging is a powerful technique that captures information across a large number of spectral bands, enabling detailed analysis of material properties. It has been applied in diverse areas such as remote sensing, food quality inspection, material identification, and biomedical analysis. The high spectral resolution of hyperspectral data, however, makes it highly sensitive to noise, which can arise from sensor electronics, illumination variations, and rapid data acquisition processes.</w:t>
      </w:r>
    </w:p>
    <w:p>
      <w:pPr>
        <w:spacing w:before="0" w:after="120" w:line="240" w:lineRule="exact"/>
        <w:ind w:firstLine="425"/>
        <w:jc w:val="both"/>
      </w:pPr>
      <w:r>
        <w:rPr>
          <w:rFonts w:ascii="Times New Roman" w:hAnsi="Times New Roman" w:cs="Times New Roman"/>
          <w:rFonts w:ascii="Times New Roman" w:hAnsi="Times New Roman"/>
          <w:b w:val="0"/>
          <w:i w:val="0"/>
          <w:sz w:val="24"/>
        </w:rPr>
        <w:t>In many practical systems, particularly push-broom scanners, hyperspectral images are acquired line by line. This acquisition mode introduces additional challenges for noise reduction, especially in real-time processing scenarios such as medical imaging [8], industrial inspection, environmental monitoring, precision agriculture. Further, military applications such as target detection [9], terrain analysis, and battlefield monitoring [10], where rapid and reliable hyperspectral analysis is critical.</w:t>
      </w:r>
    </w:p>
    <w:p>
      <w:pPr>
        <w:spacing w:before="0" w:after="120" w:line="240" w:lineRule="exact"/>
        <w:ind w:firstLine="425"/>
        <w:jc w:val="both"/>
      </w:pPr>
      <w:r>
        <w:rPr>
          <w:rFonts w:ascii="Times New Roman" w:hAnsi="Times New Roman" w:cs="Times New Roman"/>
          <w:rFonts w:ascii="Times New Roman" w:hAnsi="Times New Roman"/>
          <w:b w:val="0"/>
          <w:i w:val="0"/>
          <w:sz w:val="24"/>
        </w:rPr>
        <w:t>To address these challenges, the Minimum Noise Fraction (MNF) transform has been widely used. MNF separates signal-dominated components from noise-dominated components by leveraging both image and noise covariance matrices. By discarding or smoothing components with low signal-to-noise ratio (SNR), MNF effectively reduces noise while preserving essential spectral information.</w:t>
      </w:r>
    </w:p>
    <w:p>
      <w:pPr>
        <w:spacing w:before="0" w:after="120" w:line="240" w:lineRule="exact"/>
        <w:ind w:firstLine="425"/>
        <w:jc w:val="both"/>
      </w:pPr>
      <w:r>
        <w:rPr>
          <w:rFonts w:ascii="Times New Roman" w:hAnsi="Times New Roman" w:cs="Times New Roman"/>
          <w:rFonts w:ascii="Times New Roman" w:hAnsi="Times New Roman"/>
          <w:b w:val="0"/>
          <w:i w:val="0"/>
          <w:sz w:val="24"/>
        </w:rPr>
        <w:t>Two main MNF processing approaches are commonly employed. Firstly, global MNF processes the entire hyperspectral cube at once, providing accurate noise-signal separation but requiring full access to the image data and significant computational resources. On the other hand, in the line-by-line (LBL) processing approach, MNF [5] performs the transformation per line, allowing real-time or streaming processing but often relying on simplified noise estimation methods, such as next-pixel (horizontal) differences, which may not fully capture spatial noise characteristics.</w:t>
      </w:r>
    </w:p>
    <w:p>
      <w:pPr>
        <w:spacing w:before="0" w:after="120" w:line="240" w:lineRule="exact"/>
        <w:ind w:firstLine="425"/>
        <w:jc w:val="both"/>
      </w:pPr>
      <w:r>
        <w:rPr>
          <w:rFonts w:ascii="Times New Roman" w:hAnsi="Times New Roman" w:cs="Times New Roman"/>
          <w:rFonts w:ascii="Times New Roman" w:hAnsi="Times New Roman"/>
          <w:b w:val="0"/>
          <w:i w:val="0"/>
          <w:sz w:val="24"/>
        </w:rPr>
        <w:t>Conventional MNF methods also face numerical challenges. In datasets with highly correlated or nearly homogeneous spectral bands, the covariance matrix [11][12] can become ill-conditioned or singular, causing the eigen-decomposition to fail or produce unreliable results. Moreover, traditional noise estimation approaches that consider only horizontal differences often underestimate noise contributions from neighbours, limiting the effectiveness of the transform in line-scanning applications.</w:t>
      </w:r>
    </w:p>
    <w:p>
      <w:pPr>
        <w:spacing w:before="0" w:after="120" w:line="240" w:lineRule="exact"/>
        <w:ind w:firstLine="425"/>
        <w:jc w:val="both"/>
      </w:pPr>
      <w:r>
        <w:rPr>
          <w:rFonts w:ascii="Times New Roman" w:hAnsi="Times New Roman" w:cs="Times New Roman"/>
          <w:rFonts w:ascii="Times New Roman" w:hAnsi="Times New Roman"/>
          <w:b w:val="0"/>
          <w:i w:val="0"/>
          <w:sz w:val="24"/>
        </w:rPr>
        <w:t>The present work has addressed these limitations by developing neighbour-pixel-based noise estimation techniques, which incorporate information from surrounding pixels to compute more accurate noise covariance matrices. Regularisation methods have also been applied to stabilise eigen-decomposition in cases of ill-conditioned data, improving both the reliability and performance of MNF transformations in both global and line-by-line processing scenarios.</w:t>
      </w:r>
    </w:p>
    <w:p>
      <w:pPr>
        <w:spacing w:before="240" w:after="120" w:line="280" w:lineRule="exact"/>
        <w:jc w:val="left"/>
      </w:pPr>
      <w:r>
        <w:rPr>
          <w:rFonts w:ascii="Times New Roman" w:hAnsi="Times New Roman" w:cs="Times New Roman"/>
          <w:rFonts w:ascii="Times New Roman" w:hAnsi="Times New Roman"/>
          <w:b/>
          <w:i w:val="0"/>
          <w:sz w:val="28"/>
        </w:rPr>
        <w:t>3  Theory</w:t>
      </w:r>
    </w:p>
    <w:p>
      <w:pPr>
        <w:spacing w:before="0" w:after="120" w:line="240" w:lineRule="exact"/>
        <w:ind w:firstLine="425"/>
        <w:jc w:val="both"/>
      </w:pPr>
      <w:r>
        <w:rPr>
          <w:rFonts w:ascii="Times New Roman" w:hAnsi="Times New Roman" w:cs="Times New Roman"/>
          <w:rFonts w:ascii="Times New Roman" w:hAnsi="Times New Roman"/>
          <w:b w:val="0"/>
          <w:i w:val="0"/>
          <w:sz w:val="24"/>
        </w:rPr>
        <w:t>The Minimum Noise Fraction (MNF) transform is a widely used linear technique for separating signal and noise in hyperspectral images. Let the hyperspectral dataset be represented as a matrix Y ∈ ℝ^(B×P), where B denotes the number of spectral bands and P is the total number of pixels. The observed image is assumed to consist of the true signal S with additive noise N, expressed as</w:t>
      </w:r>
    </w:p>
    <w:p>
      <w:pPr>
        <w:spacing w:before="80" w:after="80" w:line="280" w:lineRule="exact"/>
        <w:jc w:val="center"/>
      </w:pPr>
      <w:r>
        <w:rPr>
          <w:rFonts w:ascii="Times New Roman" w:hAnsi="Times New Roman" w:cs="Times New Roman"/>
          <w:rFonts w:ascii="Times New Roman" w:hAnsi="Times New Roman"/>
          <w:b w:val="0"/>
          <w:i/>
          <w:sz w:val="24"/>
        </w:rPr>
        <w:t>Y = S + N     (1)</w:t>
      </w:r>
    </w:p>
    <w:p>
      <w:pPr>
        <w:spacing w:before="0" w:after="120" w:line="240" w:lineRule="exact"/>
        <w:ind w:firstLine="425"/>
        <w:jc w:val="both"/>
      </w:pPr>
      <w:r>
        <w:rPr>
          <w:rFonts w:ascii="Times New Roman" w:hAnsi="Times New Roman" w:cs="Times New Roman"/>
          <w:rFonts w:ascii="Times New Roman" w:hAnsi="Times New Roman"/>
          <w:b w:val="0"/>
          <w:i w:val="0"/>
          <w:sz w:val="24"/>
        </w:rPr>
        <w:t>For MNF processing, the data are first mean-centred to obtain the zero-mean matrix Z. The transformation matrix is then derived by solving the generalised eigenvalue problem</w:t>
      </w:r>
    </w:p>
    <w:p>
      <w:pPr>
        <w:spacing w:before="80" w:after="80" w:line="280" w:lineRule="exact"/>
        <w:jc w:val="center"/>
      </w:pPr>
      <w:r>
        <w:rPr>
          <w:rFonts w:ascii="Times New Roman" w:hAnsi="Times New Roman" w:cs="Times New Roman"/>
          <w:rFonts w:ascii="Times New Roman" w:hAnsi="Times New Roman"/>
          <w:b w:val="0"/>
          <w:i/>
          <w:sz w:val="24"/>
        </w:rPr>
        <w:t>Σ_N · ā = λ Σ · ā     (2)</w:t>
      </w:r>
    </w:p>
    <w:p>
      <w:pPr>
        <w:spacing w:before="0" w:after="120" w:line="240" w:lineRule="exact"/>
        <w:ind w:firstLine="425"/>
        <w:jc w:val="both"/>
      </w:pPr>
      <w:r>
        <w:rPr>
          <w:rFonts w:ascii="Times New Roman" w:hAnsi="Times New Roman" w:cs="Times New Roman"/>
          <w:rFonts w:ascii="Times New Roman" w:hAnsi="Times New Roman"/>
          <w:b w:val="0"/>
          <w:i w:val="0"/>
          <w:sz w:val="24"/>
        </w:rPr>
        <w:t>where Σ and Σ_N denote the image covariance matrix and noise covariance matrix, respectively. The resulting eigenvectors form the MNF basis, and the components are automatically ordered from high to low signal-to-noise ratio (SNR). Thus, the first few components contain most of the useful spectral information, whereas the later components are dominated by noise.</w:t>
      </w:r>
    </w:p>
    <w:p>
      <w:pPr>
        <w:spacing w:before="0" w:after="120" w:line="240" w:lineRule="exact"/>
        <w:ind w:firstLine="425"/>
        <w:jc w:val="both"/>
      </w:pPr>
      <w:r>
        <w:rPr>
          <w:rFonts w:ascii="Times New Roman" w:hAnsi="Times New Roman" w:cs="Times New Roman"/>
          <w:rFonts w:ascii="Times New Roman" w:hAnsi="Times New Roman"/>
          <w:b w:val="0"/>
          <w:i w:val="0"/>
          <w:sz w:val="24"/>
        </w:rPr>
        <w:t>A denoised reconstruction is obtained by retaining only the first r high-SNR components. The corresponding inverse transform can be written as</w:t>
      </w:r>
    </w:p>
    <w:p>
      <w:pPr>
        <w:spacing w:before="80" w:after="80" w:line="280" w:lineRule="exact"/>
        <w:jc w:val="center"/>
      </w:pPr>
      <w:r>
        <w:rPr>
          <w:rFonts w:ascii="Times New Roman" w:hAnsi="Times New Roman" w:cs="Times New Roman"/>
          <w:rFonts w:ascii="Times New Roman" w:hAnsi="Times New Roman"/>
          <w:b w:val="0"/>
          <w:i/>
          <w:sz w:val="24"/>
        </w:rPr>
        <w:t>Z* = (A⁻¹)ᵀ R A Z     (3)</w:t>
      </w:r>
    </w:p>
    <w:p>
      <w:pPr>
        <w:spacing w:before="0" w:after="120" w:line="240" w:lineRule="exact"/>
        <w:ind w:firstLine="425"/>
        <w:jc w:val="both"/>
      </w:pPr>
      <w:r>
        <w:rPr>
          <w:rFonts w:ascii="Times New Roman" w:hAnsi="Times New Roman" w:cs="Times New Roman"/>
          <w:rFonts w:ascii="Times New Roman" w:hAnsi="Times New Roman"/>
          <w:b w:val="0"/>
          <w:i w:val="0"/>
          <w:sz w:val="24"/>
        </w:rPr>
        <w:t>where A is the forward MNF transform matrix and R is a diagonal matrix that preserves only the selected components. In practice, the noise covariance Σ_N is estimated using simple pixel differences under the assumption that neighbouring pixels are spatially correlated. This is given by</w:t>
      </w:r>
    </w:p>
    <w:p>
      <w:pPr>
        <w:spacing w:before="80" w:after="80" w:line="280" w:lineRule="exact"/>
        <w:jc w:val="center"/>
      </w:pPr>
      <w:r>
        <w:rPr>
          <w:rFonts w:ascii="Times New Roman" w:hAnsi="Times New Roman" w:cs="Times New Roman"/>
          <w:rFonts w:ascii="Times New Roman" w:hAnsi="Times New Roman"/>
          <w:b w:val="0"/>
          <w:i/>
          <w:sz w:val="24"/>
        </w:rPr>
        <w:t>n_(b,p) = (y_(b,p) − y_(b,p+1))     (4)</w:t>
      </w:r>
    </w:p>
    <w:p>
      <w:pPr>
        <w:spacing w:before="0" w:after="120" w:line="240" w:lineRule="exact"/>
        <w:ind w:firstLine="425"/>
        <w:jc w:val="both"/>
      </w:pPr>
      <w:r>
        <w:rPr>
          <w:rFonts w:ascii="Times New Roman" w:hAnsi="Times New Roman" w:cs="Times New Roman"/>
          <w:rFonts w:ascii="Times New Roman" w:hAnsi="Times New Roman"/>
          <w:b w:val="0"/>
          <w:i w:val="0"/>
          <w:sz w:val="24"/>
        </w:rPr>
        <w:t>This is referred to as next pixel noise estimation (NPNE) in the present paper.</w:t>
      </w:r>
    </w:p>
    <w:p>
      <w:pPr>
        <w:spacing w:before="240" w:after="120" w:line="280" w:lineRule="exact"/>
        <w:jc w:val="left"/>
      </w:pPr>
      <w:r>
        <w:rPr>
          <w:rFonts w:ascii="Times New Roman" w:hAnsi="Times New Roman" w:cs="Times New Roman"/>
          <w:rFonts w:ascii="Times New Roman" w:hAnsi="Times New Roman"/>
          <w:b/>
          <w:i w:val="0"/>
          <w:sz w:val="28"/>
        </w:rPr>
        <w:t>4  Multi-Directional Noise Estimation</w:t>
      </w:r>
    </w:p>
    <w:p>
      <w:pPr>
        <w:spacing w:before="0" w:after="120" w:line="240" w:lineRule="exact"/>
        <w:ind w:firstLine="425"/>
        <w:jc w:val="both"/>
      </w:pPr>
      <w:r>
        <w:rPr>
          <w:rFonts w:ascii="Times New Roman" w:hAnsi="Times New Roman" w:cs="Times New Roman"/>
          <w:rFonts w:ascii="Times New Roman" w:hAnsi="Times New Roman"/>
          <w:b w:val="0"/>
          <w:i w:val="0"/>
          <w:sz w:val="24"/>
        </w:rPr>
        <w:t>In conventional MNF implementations, noise was typically estimated using only horizontal differences between neighbouring pixels, which did not fully capture the spatial variability in hyperspectral images. Noise can arise from multiple sources, including sensor electronics, illumination variations, sensor or scene motion, fast data acquisition, and environmental factors, often causing variations in multiple spatial directions.</w:t>
      </w:r>
    </w:p>
    <w:p>
      <w:pPr>
        <w:spacing w:before="0" w:after="120" w:line="240" w:lineRule="exact"/>
        <w:ind w:firstLine="425"/>
        <w:jc w:val="both"/>
      </w:pPr>
      <w:r>
        <w:rPr>
          <w:rFonts w:ascii="Times New Roman" w:hAnsi="Times New Roman" w:cs="Times New Roman"/>
          <w:rFonts w:ascii="Times New Roman" w:hAnsi="Times New Roman"/>
          <w:b w:val="0"/>
          <w:i w:val="0"/>
          <w:sz w:val="24"/>
        </w:rPr>
        <w:t>To address this, the present work proposes two multi-directional noise estimation methods: Three-Pixel Noise Estimation (TPNE) and Four-Pixel Noise Estimation (4PNE). Both methods incorporate horizontal, vertical, and diagonal differences. Consecutive lines in push-broom scanners naturally provide vertical neighbours, which are used to improve noise estimation accuracy. By combining differences along multiple directions, the estimated noise better represents true spatial variability and produces a more stable noise covariance matrix, which is critical for regularised MNF transformations, especially in datasets with highly correlated or nearly homogeneous spectral bands.</w:t>
      </w:r>
    </w:p>
    <w:p>
      <w:pPr>
        <w:spacing w:before="0" w:after="120" w:line="240" w:lineRule="exact"/>
        <w:ind w:firstLine="425"/>
        <w:jc w:val="both"/>
      </w:pPr>
      <w:r>
        <w:rPr>
          <w:rFonts w:ascii="Times New Roman" w:hAnsi="Times New Roman" w:cs="Times New Roman"/>
          <w:rFonts w:ascii="Times New Roman" w:hAnsi="Times New Roman"/>
          <w:b w:val="0"/>
          <w:i w:val="0"/>
          <w:sz w:val="24"/>
        </w:rPr>
        <w:t>In the Line-by-Line (LBL) processing architecture, future lines are unavailable during processing. Both methods therefore use the previously acquired line to compute vertical and diagonal differences, enabling integration into the LBL framework while maintaining real-time processing capabilities and providing more accurate noise estimation than horizontal-only approaches.</w:t>
      </w:r>
    </w:p>
    <w:p>
      <w:pPr>
        <w:spacing w:before="160" w:after="80" w:line="260" w:lineRule="exact"/>
        <w:jc w:val="left"/>
      </w:pPr>
      <w:r>
        <w:rPr>
          <w:rFonts w:ascii="Times New Roman" w:hAnsi="Times New Roman" w:cs="Times New Roman"/>
          <w:rFonts w:ascii="Times New Roman" w:hAnsi="Times New Roman"/>
          <w:b/>
          <w:i w:val="0"/>
          <w:sz w:val="24"/>
        </w:rPr>
        <w:t>4.1  Three-Pixel Noise Estimation Method (TPNE)</w:t>
      </w:r>
    </w:p>
    <w:p>
      <w:pPr>
        <w:spacing w:before="0" w:after="120" w:line="240" w:lineRule="exact"/>
        <w:ind w:firstLine="425"/>
        <w:jc w:val="both"/>
      </w:pPr>
      <w:r>
        <w:rPr>
          <w:rFonts w:ascii="Times New Roman" w:hAnsi="Times New Roman" w:cs="Times New Roman"/>
          <w:rFonts w:ascii="Times New Roman" w:hAnsi="Times New Roman"/>
          <w:b w:val="0"/>
          <w:i w:val="0"/>
          <w:sz w:val="24"/>
        </w:rPr>
        <w:t>The proposed TPNE method follows the same MNF theoretical framework described in Section 3. The signal model, generalised eigenvalue formulation, and reconstruction process remain unchanged and are governed by Equations (1)–(3). The only modification introduced by the proposed approach lies in the estimation of the noise matrix, which directly influences the noise covariance matrix used in the MNF transform. The estimation of the noise covariance matrix is presented in Algorithm 1.</w:t>
      </w:r>
    </w:p>
    <w:p>
      <w:pPr>
        <w:spacing w:before="160" w:after="40" w:line="280" w:lineRule="exact"/>
        <w:jc w:val="left"/>
      </w:pPr>
      <w:r>
        <w:rPr>
          <w:rFonts w:ascii="Times New Roman" w:hAnsi="Times New Roman" w:cs="Times New Roman"/>
          <w:rFonts w:ascii="Times New Roman" w:hAnsi="Times New Roman"/>
          <w:b/>
          <w:i w:val="0"/>
          <w:sz w:val="22"/>
        </w:rPr>
        <w:t>Algorithm 1  Three-Pixel Noise Estimation (TPNE) for Hyperspectral Data</w:t>
      </w:r>
    </w:p>
    <w:p>
      <w:pPr>
        <w:spacing w:before="0" w:after="0" w:line="280" w:lineRule="exact"/>
        <w:ind w:left="283"/>
        <w:jc w:val="left"/>
      </w:pPr>
      <w:r>
        <w:rPr>
          <w:rFonts w:ascii="Times New Roman" w:hAnsi="Times New Roman" w:cs="Times New Roman"/>
          <w:rFonts w:ascii="Times New Roman" w:hAnsi="Times New Roman"/>
          <w:b/>
          <w:i w:val="0"/>
          <w:sz w:val="22"/>
        </w:rPr>
        <w:t>Require:</w:t>
      </w:r>
      <w:r>
        <w:rPr>
          <w:rFonts w:ascii="Times New Roman" w:hAnsi="Times New Roman" w:cs="Times New Roman"/>
          <w:rFonts w:ascii="Times New Roman" w:hAnsi="Times New Roman"/>
          <w:b w:val="0"/>
          <w:i w:val="0"/>
          <w:sz w:val="22"/>
        </w:rPr>
        <w:t>Image Y, where Y[l] ∈ ℝ^(B×S) for l = 0, …, L − 1</w:t>
      </w:r>
    </w:p>
    <w:p>
      <w:pPr>
        <w:spacing w:before="0" w:after="0" w:line="280" w:lineRule="exact"/>
        <w:ind w:left="283"/>
        <w:jc w:val="left"/>
      </w:pPr>
      <w:r>
        <w:rPr>
          <w:rFonts w:ascii="Times New Roman" w:hAnsi="Times New Roman" w:cs="Times New Roman"/>
          <w:rFonts w:ascii="Times New Roman" w:hAnsi="Times New Roman"/>
          <w:b/>
          <w:i w:val="0"/>
          <w:sz w:val="22"/>
        </w:rPr>
        <w:t xml:space="preserve">Ensure: </w:t>
      </w:r>
      <w:r>
        <w:rPr>
          <w:rFonts w:ascii="Times New Roman" w:hAnsi="Times New Roman" w:cs="Times New Roman"/>
          <w:rFonts w:ascii="Times New Roman" w:hAnsi="Times New Roman"/>
          <w:b w:val="0"/>
          <w:i w:val="0"/>
          <w:sz w:val="22"/>
        </w:rPr>
        <w:t>Noise matrices N[l] ∈ ℝ^(B×(S−1))</w:t>
      </w:r>
    </w:p>
    <w:p>
      <w:pPr>
        <w:spacing w:before="0" w:after="0" w:line="280" w:lineRule="exact"/>
        <w:ind w:left="283"/>
        <w:jc w:val="left"/>
      </w:pPr>
      <w:r>
        <w:rPr>
          <w:rFonts w:ascii="Times New Roman" w:hAnsi="Times New Roman" w:cs="Times New Roman"/>
          <w:rFonts w:ascii="Times New Roman" w:hAnsi="Times New Roman"/>
          <w:b/>
          <w:i w:val="0"/>
          <w:sz w:val="22"/>
        </w:rPr>
        <w:t xml:space="preserve">1:      </w:t>
      </w:r>
      <w:r>
        <w:rPr>
          <w:rFonts w:ascii="Times New Roman" w:hAnsi="Times New Roman" w:cs="Times New Roman"/>
          <w:rFonts w:ascii="Times New Roman" w:hAnsi="Times New Roman"/>
          <w:b w:val="0"/>
          <w:i w:val="0"/>
          <w:sz w:val="22"/>
        </w:rPr>
        <w:t>for l = 0 to L − 2 do</w:t>
      </w:r>
    </w:p>
    <w:p>
      <w:pPr>
        <w:spacing w:before="0" w:after="0" w:line="280" w:lineRule="exact"/>
        <w:ind w:left="283"/>
        <w:jc w:val="left"/>
      </w:pPr>
      <w:r>
        <w:rPr>
          <w:rFonts w:ascii="Times New Roman" w:hAnsi="Times New Roman" w:cs="Times New Roman"/>
          <w:rFonts w:ascii="Times New Roman" w:hAnsi="Times New Roman"/>
          <w:b/>
          <w:i w:val="0"/>
          <w:sz w:val="22"/>
        </w:rPr>
        <w:t xml:space="preserve">2:      </w:t>
      </w:r>
      <w:r>
        <w:rPr>
          <w:rFonts w:ascii="Times New Roman" w:hAnsi="Times New Roman" w:cs="Times New Roman"/>
          <w:rFonts w:ascii="Times New Roman" w:hAnsi="Times New Roman"/>
          <w:b w:val="0"/>
          <w:i w:val="0"/>
          <w:sz w:val="22"/>
        </w:rPr>
        <w:t xml:space="preserve">    h ← Y[l][:, 0:S−1] − Y[l][:, 1:S]</w:t>
      </w:r>
    </w:p>
    <w:p>
      <w:pPr>
        <w:spacing w:before="0" w:after="0" w:line="280" w:lineRule="exact"/>
        <w:ind w:left="283"/>
        <w:jc w:val="left"/>
      </w:pPr>
      <w:r>
        <w:rPr>
          <w:rFonts w:ascii="Times New Roman" w:hAnsi="Times New Roman" w:cs="Times New Roman"/>
          <w:rFonts w:ascii="Times New Roman" w:hAnsi="Times New Roman"/>
          <w:b/>
          <w:i w:val="0"/>
          <w:sz w:val="22"/>
        </w:rPr>
        <w:t xml:space="preserve">3:      </w:t>
      </w:r>
      <w:r>
        <w:rPr>
          <w:rFonts w:ascii="Times New Roman" w:hAnsi="Times New Roman" w:cs="Times New Roman"/>
          <w:rFonts w:ascii="Times New Roman" w:hAnsi="Times New Roman"/>
          <w:b w:val="0"/>
          <w:i w:val="0"/>
          <w:sz w:val="22"/>
        </w:rPr>
        <w:t xml:space="preserve">    v ← Y[l][:, 0:S−1] − Y[l+1][:, 0:S−1]</w:t>
      </w:r>
    </w:p>
    <w:p>
      <w:pPr>
        <w:spacing w:before="0" w:after="0" w:line="280" w:lineRule="exact"/>
        <w:ind w:left="283"/>
        <w:jc w:val="left"/>
      </w:pPr>
      <w:r>
        <w:rPr>
          <w:rFonts w:ascii="Times New Roman" w:hAnsi="Times New Roman" w:cs="Times New Roman"/>
          <w:rFonts w:ascii="Times New Roman" w:hAnsi="Times New Roman"/>
          <w:b/>
          <w:i w:val="0"/>
          <w:sz w:val="22"/>
        </w:rPr>
        <w:t xml:space="preserve">4:      </w:t>
      </w:r>
      <w:r>
        <w:rPr>
          <w:rFonts w:ascii="Times New Roman" w:hAnsi="Times New Roman" w:cs="Times New Roman"/>
          <w:rFonts w:ascii="Times New Roman" w:hAnsi="Times New Roman"/>
          <w:b w:val="0"/>
          <w:i w:val="0"/>
          <w:sz w:val="22"/>
        </w:rPr>
        <w:t xml:space="preserve">    d ← Y[l][:, 0:S−1] − Y[l+1][:, 1:S]</w:t>
      </w:r>
    </w:p>
    <w:p>
      <w:pPr>
        <w:spacing w:before="0" w:after="0" w:line="280" w:lineRule="exact"/>
        <w:ind w:left="283"/>
        <w:jc w:val="left"/>
      </w:pPr>
      <w:r>
        <w:rPr>
          <w:rFonts w:ascii="Times New Roman" w:hAnsi="Times New Roman" w:cs="Times New Roman"/>
          <w:rFonts w:ascii="Times New Roman" w:hAnsi="Times New Roman"/>
          <w:b/>
          <w:i w:val="0"/>
          <w:sz w:val="22"/>
        </w:rPr>
        <w:t xml:space="preserve">5:      </w:t>
      </w:r>
      <w:r>
        <w:rPr>
          <w:rFonts w:ascii="Times New Roman" w:hAnsi="Times New Roman" w:cs="Times New Roman"/>
          <w:rFonts w:ascii="Times New Roman" w:hAnsi="Times New Roman"/>
          <w:b w:val="0"/>
          <w:i w:val="0"/>
          <w:sz w:val="22"/>
        </w:rPr>
        <w:t xml:space="preserve">    N[l] ← ⅓ (h + v + d)</w:t>
      </w:r>
    </w:p>
    <w:p>
      <w:pPr>
        <w:spacing w:before="0" w:after="0" w:line="280" w:lineRule="exact"/>
        <w:ind w:left="283"/>
        <w:jc w:val="left"/>
      </w:pPr>
      <w:r>
        <w:rPr>
          <w:rFonts w:ascii="Times New Roman" w:hAnsi="Times New Roman" w:cs="Times New Roman"/>
          <w:rFonts w:ascii="Times New Roman" w:hAnsi="Times New Roman"/>
          <w:b/>
          <w:i w:val="0"/>
          <w:sz w:val="22"/>
        </w:rPr>
        <w:t xml:space="preserve">6:      </w:t>
      </w:r>
      <w:r>
        <w:rPr>
          <w:rFonts w:ascii="Times New Roman" w:hAnsi="Times New Roman" w:cs="Times New Roman"/>
          <w:rFonts w:ascii="Times New Roman" w:hAnsi="Times New Roman"/>
          <w:b w:val="0"/>
          <w:i w:val="0"/>
          <w:sz w:val="22"/>
        </w:rPr>
        <w:t>end for</w:t>
      </w:r>
    </w:p>
    <w:p>
      <w:pPr>
        <w:spacing w:before="0" w:after="0" w:line="280" w:lineRule="exact"/>
        <w:ind w:left="283"/>
        <w:jc w:val="left"/>
      </w:pPr>
      <w:r>
        <w:rPr>
          <w:rFonts w:ascii="Times New Roman" w:hAnsi="Times New Roman" w:cs="Times New Roman"/>
          <w:rFonts w:ascii="Times New Roman" w:hAnsi="Times New Roman"/>
          <w:b/>
          <w:i w:val="0"/>
          <w:sz w:val="22"/>
        </w:rPr>
        <w:t xml:space="preserve">7:      </w:t>
      </w:r>
      <w:r>
        <w:rPr>
          <w:rFonts w:ascii="Times New Roman" w:hAnsi="Times New Roman" w:cs="Times New Roman"/>
          <w:rFonts w:ascii="Times New Roman" w:hAnsi="Times New Roman"/>
          <w:b w:val="0"/>
          <w:i w:val="0"/>
          <w:sz w:val="22"/>
        </w:rPr>
        <w:t>return N</w:t>
      </w:r>
    </w:p>
    <w:p/>
    <w:p>
      <w:pPr>
        <w:spacing w:before="160" w:after="80" w:line="260" w:lineRule="exact"/>
        <w:jc w:val="left"/>
      </w:pPr>
      <w:r>
        <w:rPr>
          <w:rFonts w:ascii="Times New Roman" w:hAnsi="Times New Roman" w:cs="Times New Roman"/>
          <w:rFonts w:ascii="Times New Roman" w:hAnsi="Times New Roman"/>
          <w:b/>
          <w:i w:val="0"/>
          <w:sz w:val="24"/>
        </w:rPr>
        <w:t>4.2  Four-Pixel Noise Estimation (4PNE)</w:t>
      </w:r>
    </w:p>
    <w:p>
      <w:pPr>
        <w:spacing w:before="0" w:after="120" w:line="240" w:lineRule="exact"/>
        <w:ind w:firstLine="425"/>
        <w:jc w:val="both"/>
      </w:pPr>
      <w:r>
        <w:rPr>
          <w:rFonts w:ascii="Times New Roman" w:hAnsi="Times New Roman" w:cs="Times New Roman"/>
          <w:rFonts w:ascii="Times New Roman" w:hAnsi="Times New Roman"/>
          <w:b w:val="0"/>
          <w:i w:val="0"/>
          <w:sz w:val="24"/>
        </w:rPr>
        <w:t>The Four-Pixel Noise Estimation (4PNE) method extends TPNE by incorporating a fourth directional component: the below-horizontal difference. In addition to the horizontal (h), vertical (v), and diagonal (d) differences used in TPNE, 4PNE includes the below-horizontal difference (bh), which computes pixel differences along the row immediately below the current line. The 4PNE estimate is defined as:</w:t>
      </w:r>
    </w:p>
    <w:p>
      <w:pPr>
        <w:spacing w:before="80" w:after="80" w:line="280" w:lineRule="exact"/>
        <w:jc w:val="center"/>
      </w:pPr>
      <w:r>
        <w:rPr>
          <w:rFonts w:ascii="Times New Roman" w:hAnsi="Times New Roman" w:cs="Times New Roman"/>
          <w:rFonts w:ascii="Times New Roman" w:hAnsi="Times New Roman"/>
          <w:b w:val="0"/>
          <w:i/>
          <w:sz w:val="24"/>
        </w:rPr>
        <w:t>N[l] = ¼ (h + v + bh + d)     (5)</w:t>
      </w:r>
    </w:p>
    <w:p>
      <w:pPr>
        <w:spacing w:before="0" w:after="120" w:line="240" w:lineRule="exact"/>
        <w:ind w:firstLine="425"/>
        <w:jc w:val="both"/>
      </w:pPr>
      <w:r>
        <w:rPr>
          <w:rFonts w:ascii="Times New Roman" w:hAnsi="Times New Roman" w:cs="Times New Roman"/>
          <w:rFonts w:ascii="Times New Roman" w:hAnsi="Times New Roman"/>
          <w:b w:val="0"/>
          <w:i w:val="0"/>
          <w:sz w:val="24"/>
        </w:rPr>
        <w:t>where h = Y[l][:, 0:S−1] − Y[l][:, 1:S] is the horizontal difference, v = Y[l][:, 0:S−1] − Y[l+1][:, 0:S−1] is the vertical difference, bh = Y[l+1][:, 0:S−1] − Y[l+1][:, 1:S] is the below-horizontal difference, and d = Y[l][:, 0:S−1] − Y[l+1][:, 1:S] is the diagonal difference. By averaging four independent directional noise samples, 4PNE produces a more isotropic noise estimate that is less sensitive to any single directional artefact.</w:t>
      </w:r>
    </w:p>
    <w:p>
      <w:pPr>
        <w:spacing w:before="240" w:after="120" w:line="280" w:lineRule="exact"/>
        <w:jc w:val="left"/>
      </w:pPr>
      <w:r>
        <w:rPr>
          <w:rFonts w:ascii="Times New Roman" w:hAnsi="Times New Roman" w:cs="Times New Roman"/>
          <w:rFonts w:ascii="Times New Roman" w:hAnsi="Times New Roman"/>
          <w:b/>
          <w:i w:val="0"/>
          <w:sz w:val="28"/>
        </w:rPr>
        <w:t>5  Performance Metrics</w:t>
      </w:r>
    </w:p>
    <w:p>
      <w:pPr>
        <w:spacing w:before="0" w:after="120" w:line="240" w:lineRule="exact"/>
        <w:ind w:firstLine="425"/>
        <w:jc w:val="both"/>
      </w:pPr>
      <w:r>
        <w:rPr>
          <w:rFonts w:ascii="Times New Roman" w:hAnsi="Times New Roman" w:cs="Times New Roman"/>
          <w:rFonts w:ascii="Times New Roman" w:hAnsi="Times New Roman"/>
          <w:b w:val="0"/>
          <w:i w:val="0"/>
          <w:sz w:val="24"/>
        </w:rPr>
        <w:t>In the present study, the quantitative metrics employed to assess the quality of individual spectral bands include band variance, signal-to-noise ratio (SNR), structural similarity index (SSIM), and peak signal-to-noise ratio (PSNR). These metrics are utilised as no ground truth data is required for analysis.</w:t>
      </w:r>
    </w:p>
    <w:p>
      <w:pPr>
        <w:spacing w:before="0" w:after="120" w:line="240" w:lineRule="exact"/>
        <w:ind w:firstLine="425"/>
        <w:jc w:val="both"/>
      </w:pPr>
      <w:r>
        <w:rPr>
          <w:rFonts w:ascii="Times New Roman" w:hAnsi="Times New Roman" w:cs="Times New Roman"/>
          <w:rFonts w:ascii="Times New Roman" w:hAnsi="Times New Roman"/>
          <w:b w:val="0"/>
          <w:i w:val="0"/>
          <w:sz w:val="24"/>
        </w:rPr>
        <w:t>Let B denote the total number of spectral bands and N denote the number of spatial samples (pixels) in each of the bands. Let x_b(i) represent the reference signal value of the i-th pixel in band b, and x̂_b(i) represent the corresponding reconstructed or estimated value.</w:t>
      </w:r>
    </w:p>
    <w:p>
      <w:pPr>
        <w:spacing w:before="160" w:after="80" w:line="260" w:lineRule="exact"/>
        <w:jc w:val="left"/>
      </w:pPr>
      <w:r>
        <w:rPr>
          <w:rFonts w:ascii="Times New Roman" w:hAnsi="Times New Roman" w:cs="Times New Roman"/>
          <w:rFonts w:ascii="Times New Roman" w:hAnsi="Times New Roman"/>
          <w:b/>
          <w:i w:val="0"/>
          <w:sz w:val="24"/>
        </w:rPr>
        <w:t>5.1  Band Variance</w:t>
      </w:r>
    </w:p>
    <w:p>
      <w:pPr>
        <w:spacing w:before="0" w:after="120" w:line="240" w:lineRule="exact"/>
        <w:ind w:firstLine="425"/>
        <w:jc w:val="both"/>
      </w:pPr>
      <w:r>
        <w:rPr>
          <w:rFonts w:ascii="Times New Roman" w:hAnsi="Times New Roman" w:cs="Times New Roman"/>
          <w:rFonts w:ascii="Times New Roman" w:hAnsi="Times New Roman"/>
          <w:b w:val="0"/>
          <w:i w:val="0"/>
          <w:sz w:val="24"/>
        </w:rPr>
        <w:t>The variance of band b is defined as</w:t>
      </w:r>
    </w:p>
    <w:p>
      <w:pPr>
        <w:spacing w:before="80" w:after="80" w:line="280" w:lineRule="exact"/>
        <w:jc w:val="center"/>
      </w:pPr>
      <w:r>
        <w:rPr>
          <w:rFonts w:ascii="Times New Roman" w:hAnsi="Times New Roman" w:cs="Times New Roman"/>
          <w:rFonts w:ascii="Times New Roman" w:hAnsi="Times New Roman"/>
          <w:b w:val="0"/>
          <w:i/>
          <w:sz w:val="24"/>
        </w:rPr>
        <w:t>σ²_b = (1/N) Σᵢ (x̂_b(i) − μ_b)²     (6)</w:t>
      </w:r>
    </w:p>
    <w:p>
      <w:pPr>
        <w:spacing w:before="0" w:after="120" w:line="240" w:lineRule="exact"/>
        <w:ind w:firstLine="425"/>
        <w:jc w:val="both"/>
      </w:pPr>
      <w:r>
        <w:rPr>
          <w:rFonts w:ascii="Times New Roman" w:hAnsi="Times New Roman" w:cs="Times New Roman"/>
          <w:rFonts w:ascii="Times New Roman" w:hAnsi="Times New Roman"/>
          <w:b w:val="0"/>
          <w:i w:val="0"/>
          <w:sz w:val="24"/>
        </w:rPr>
        <w:t>and the corresponding standard deviation is σ_b = √(σ²_b). Under the additive noise assumption (Equation 1), the observed band variance satisfies</w:t>
      </w:r>
    </w:p>
    <w:p>
      <w:pPr>
        <w:spacing w:before="80" w:after="80" w:line="280" w:lineRule="exact"/>
        <w:jc w:val="center"/>
      </w:pPr>
      <w:r>
        <w:rPr>
          <w:rFonts w:ascii="Times New Roman" w:hAnsi="Times New Roman" w:cs="Times New Roman"/>
          <w:rFonts w:ascii="Times New Roman" w:hAnsi="Times New Roman"/>
          <w:b w:val="0"/>
          <w:i/>
          <w:sz w:val="24"/>
        </w:rPr>
        <w:t>Var(Y_b) = Var(X_b) + Var(N_b)     (7)</w:t>
      </w:r>
    </w:p>
    <w:p>
      <w:pPr>
        <w:spacing w:before="0" w:after="120" w:line="240" w:lineRule="exact"/>
        <w:ind w:firstLine="425"/>
        <w:jc w:val="both"/>
      </w:pPr>
      <w:r>
        <w:rPr>
          <w:rFonts w:ascii="Times New Roman" w:hAnsi="Times New Roman" w:cs="Times New Roman"/>
          <w:rFonts w:ascii="Times New Roman" w:hAnsi="Times New Roman"/>
          <w:b w:val="0"/>
          <w:i w:val="0"/>
          <w:sz w:val="24"/>
        </w:rPr>
        <w:t>After noise removal, the variance of the denoised band decreases due to suppression of the noise component, while the underlying signal variance is largely preserved.</w:t>
      </w:r>
    </w:p>
    <w:p>
      <w:pPr>
        <w:spacing w:before="160" w:after="80" w:line="260" w:lineRule="exact"/>
        <w:jc w:val="left"/>
      </w:pPr>
      <w:r>
        <w:rPr>
          <w:rFonts w:ascii="Times New Roman" w:hAnsi="Times New Roman" w:cs="Times New Roman"/>
          <w:rFonts w:ascii="Times New Roman" w:hAnsi="Times New Roman"/>
          <w:b/>
          <w:i w:val="0"/>
          <w:sz w:val="24"/>
        </w:rPr>
        <w:t>5.2  Signal-to-Noise Ratio (SNR)</w:t>
      </w:r>
    </w:p>
    <w:p>
      <w:pPr>
        <w:spacing w:before="0" w:after="120" w:line="240" w:lineRule="exact"/>
        <w:ind w:firstLine="425"/>
        <w:jc w:val="both"/>
      </w:pPr>
      <w:r>
        <w:rPr>
          <w:rFonts w:ascii="Times New Roman" w:hAnsi="Times New Roman" w:cs="Times New Roman"/>
          <w:rFonts w:ascii="Times New Roman" w:hAnsi="Times New Roman"/>
          <w:b w:val="0"/>
          <w:i w:val="0"/>
          <w:sz w:val="24"/>
        </w:rPr>
        <w:t>The band-wise Signal-to-Noise Ratio (SNR) is defined as the ratio of the mean value of the band to its standard deviation:</w:t>
      </w:r>
    </w:p>
    <w:p>
      <w:pPr>
        <w:spacing w:before="80" w:after="80" w:line="280" w:lineRule="exact"/>
        <w:jc w:val="center"/>
      </w:pPr>
      <w:r>
        <w:rPr>
          <w:rFonts w:ascii="Times New Roman" w:hAnsi="Times New Roman" w:cs="Times New Roman"/>
          <w:rFonts w:ascii="Times New Roman" w:hAnsi="Times New Roman"/>
          <w:b w:val="0"/>
          <w:i/>
          <w:sz w:val="24"/>
        </w:rPr>
        <w:t>SNR_b = μ_b / σ_b     (8)</w:t>
      </w:r>
    </w:p>
    <w:p>
      <w:pPr>
        <w:spacing w:before="160" w:after="80" w:line="260" w:lineRule="exact"/>
        <w:jc w:val="left"/>
      </w:pPr>
      <w:r>
        <w:rPr>
          <w:rFonts w:ascii="Times New Roman" w:hAnsi="Times New Roman" w:cs="Times New Roman"/>
          <w:rFonts w:ascii="Times New Roman" w:hAnsi="Times New Roman"/>
          <w:b/>
          <w:i w:val="0"/>
          <w:sz w:val="24"/>
        </w:rPr>
        <w:t>5.3  Structural Similarity Index (SSIM)</w:t>
      </w:r>
    </w:p>
    <w:p>
      <w:pPr>
        <w:spacing w:before="0" w:after="120" w:line="240" w:lineRule="exact"/>
        <w:ind w:firstLine="425"/>
        <w:jc w:val="both"/>
      </w:pPr>
      <w:r>
        <w:rPr>
          <w:rFonts w:ascii="Times New Roman" w:hAnsi="Times New Roman" w:cs="Times New Roman"/>
          <w:rFonts w:ascii="Times New Roman" w:hAnsi="Times New Roman"/>
          <w:b w:val="0"/>
          <w:i w:val="0"/>
          <w:sz w:val="24"/>
        </w:rPr>
        <w:t>The Structural Similarity Index (SSIM) quantifies the perceived similarity between the original band image and the MNF-reconstructed band image. SSIM is computed per spectral band on the two-dimensional spatial slice (lines × samples) and then averaged across all bands. A value of 1.0 denotes perfect structural fidelity.</w:t>
      </w:r>
    </w:p>
    <w:p>
      <w:pPr>
        <w:spacing w:before="160" w:after="80" w:line="260" w:lineRule="exact"/>
        <w:jc w:val="left"/>
      </w:pPr>
      <w:r>
        <w:rPr>
          <w:rFonts w:ascii="Times New Roman" w:hAnsi="Times New Roman" w:cs="Times New Roman"/>
          <w:rFonts w:ascii="Times New Roman" w:hAnsi="Times New Roman"/>
          <w:b/>
          <w:i w:val="0"/>
          <w:sz w:val="24"/>
        </w:rPr>
        <w:t>5.4  Peak Signal-to-Noise Ratio (PSNR)</w:t>
      </w:r>
    </w:p>
    <w:p>
      <w:pPr>
        <w:spacing w:before="0" w:after="120" w:line="240" w:lineRule="exact"/>
        <w:ind w:firstLine="425"/>
        <w:jc w:val="both"/>
      </w:pPr>
      <w:r>
        <w:rPr>
          <w:rFonts w:ascii="Times New Roman" w:hAnsi="Times New Roman" w:cs="Times New Roman"/>
          <w:rFonts w:ascii="Times New Roman" w:hAnsi="Times New Roman"/>
          <w:b w:val="0"/>
          <w:i w:val="0"/>
          <w:sz w:val="24"/>
        </w:rPr>
        <w:t>The Peak Signal-to-Noise Ratio (PSNR), expressed in decibels, measures reconstruction fidelity relative to the dynamic range of the original image:</w:t>
      </w:r>
    </w:p>
    <w:p>
      <w:pPr>
        <w:spacing w:before="80" w:after="80" w:line="280" w:lineRule="exact"/>
        <w:jc w:val="center"/>
      </w:pPr>
      <w:r>
        <w:rPr>
          <w:rFonts w:ascii="Times New Roman" w:hAnsi="Times New Roman" w:cs="Times New Roman"/>
          <w:rFonts w:ascii="Times New Roman" w:hAnsi="Times New Roman"/>
          <w:b w:val="0"/>
          <w:i/>
          <w:sz w:val="24"/>
        </w:rPr>
        <w:t>PSNR = 20 · log₁₀(max(X) / RMSE)     (9)</w:t>
      </w:r>
    </w:p>
    <w:p>
      <w:pPr>
        <w:spacing w:before="0" w:after="120" w:line="240" w:lineRule="exact"/>
        <w:ind w:firstLine="425"/>
        <w:jc w:val="both"/>
      </w:pPr>
      <w:r>
        <w:rPr>
          <w:rFonts w:ascii="Times New Roman" w:hAnsi="Times New Roman" w:cs="Times New Roman"/>
          <w:rFonts w:ascii="Times New Roman" w:hAnsi="Times New Roman"/>
          <w:b w:val="0"/>
          <w:i w:val="0"/>
          <w:sz w:val="24"/>
        </w:rPr>
        <w:t>where RMSE denotes the root-mean-squared error between the original and reconstructed images. A higher PSNR value indicates that the reconstructed image is numerically closer to the original.</w:t>
      </w:r>
    </w:p>
    <w:p>
      <w:pPr>
        <w:spacing w:before="240" w:after="120" w:line="280" w:lineRule="exact"/>
        <w:jc w:val="left"/>
      </w:pPr>
      <w:r>
        <w:rPr>
          <w:rFonts w:ascii="Times New Roman" w:hAnsi="Times New Roman" w:cs="Times New Roman"/>
          <w:rFonts w:ascii="Times New Roman" w:hAnsi="Times New Roman"/>
          <w:b/>
          <w:i w:val="0"/>
          <w:sz w:val="28"/>
        </w:rPr>
        <w:t>6  Experimental Setup</w:t>
      </w:r>
    </w:p>
    <w:p>
      <w:pPr>
        <w:spacing w:before="160" w:after="80" w:line="260" w:lineRule="exact"/>
        <w:jc w:val="left"/>
      </w:pPr>
      <w:r>
        <w:rPr>
          <w:rFonts w:ascii="Times New Roman" w:hAnsi="Times New Roman" w:cs="Times New Roman"/>
          <w:rFonts w:ascii="Times New Roman" w:hAnsi="Times New Roman"/>
          <w:b/>
          <w:i w:val="0"/>
          <w:sz w:val="24"/>
        </w:rPr>
        <w:t>6.1  Dataset</w:t>
      </w:r>
    </w:p>
    <w:p>
      <w:pPr>
        <w:spacing w:before="0" w:after="120" w:line="240" w:lineRule="exact"/>
        <w:ind w:firstLine="425"/>
        <w:jc w:val="both"/>
      </w:pPr>
      <w:r>
        <w:rPr>
          <w:rFonts w:ascii="Times New Roman" w:hAnsi="Times New Roman" w:cs="Times New Roman"/>
          <w:rFonts w:ascii="Times New Roman" w:hAnsi="Times New Roman"/>
          <w:b w:val="0"/>
          <w:i w:val="0"/>
          <w:sz w:val="24"/>
        </w:rPr>
        <w:t>The experiments were conducted on a high-resolution airborne reflectance hyperspectral dataset comprising 40 contiguous spectral bands. The imagery was provided on a spatial grid with a pixel size of 15 cm (0.15 m × 0.15 m), containing 2199 scan lines and 1280 samples per line. The dataset is representative of real-world push-broom scanner imagery and presents conditions typical of airborne remote sensing missions, including spatially correlated noise and heterogeneous land cover.</w:t>
      </w:r>
    </w:p>
    <w:p>
      <w:pPr>
        <w:spacing w:before="160" w:after="80" w:line="260" w:lineRule="exact"/>
        <w:jc w:val="left"/>
      </w:pPr>
      <w:r>
        <w:rPr>
          <w:rFonts w:ascii="Times New Roman" w:hAnsi="Times New Roman" w:cs="Times New Roman"/>
          <w:rFonts w:ascii="Times New Roman" w:hAnsi="Times New Roman"/>
          <w:b/>
          <w:i w:val="0"/>
          <w:sz w:val="24"/>
        </w:rPr>
        <w:t>6.2  Hardware Configuration</w:t>
      </w:r>
    </w:p>
    <w:p>
      <w:pPr>
        <w:spacing w:before="0" w:after="120" w:line="240" w:lineRule="exact"/>
        <w:ind w:firstLine="425"/>
        <w:jc w:val="both"/>
      </w:pPr>
      <w:r>
        <w:rPr>
          <w:rFonts w:ascii="Times New Roman" w:hAnsi="Times New Roman" w:cs="Times New Roman"/>
          <w:rFonts w:ascii="Times New Roman" w:hAnsi="Times New Roman"/>
          <w:b w:val="0"/>
          <w:i w:val="0"/>
          <w:sz w:val="24"/>
        </w:rPr>
        <w:t>All experiments were conducted on a system equipped with an Intel® Core™ i5-9300H processor operating at 2.40 GHz and 8 GB of RAM. Computation and visualisation tasks were supported by an NVIDIA GeForce GTX 1050 GPU (cuBLAS) [13]. The system ran a 64-bit Ubuntu 22.04 LTS operating system.</w:t>
      </w:r>
    </w:p>
    <w:p>
      <w:pPr>
        <w:spacing w:before="160" w:after="80" w:line="260" w:lineRule="exact"/>
        <w:jc w:val="left"/>
      </w:pPr>
      <w:r>
        <w:rPr>
          <w:rFonts w:ascii="Times New Roman" w:hAnsi="Times New Roman" w:cs="Times New Roman"/>
          <w:rFonts w:ascii="Times New Roman" w:hAnsi="Times New Roman"/>
          <w:b/>
          <w:i w:val="0"/>
          <w:sz w:val="24"/>
        </w:rPr>
        <w:t>6.3  Software Implementation</w:t>
      </w:r>
    </w:p>
    <w:p>
      <w:pPr>
        <w:spacing w:before="0" w:after="120" w:line="240" w:lineRule="exact"/>
        <w:ind w:firstLine="425"/>
        <w:jc w:val="both"/>
      </w:pPr>
      <w:r>
        <w:rPr>
          <w:rFonts w:ascii="Times New Roman" w:hAnsi="Times New Roman" w:cs="Times New Roman"/>
          <w:rFonts w:ascii="Times New Roman" w:hAnsi="Times New Roman"/>
          <w:b w:val="0"/>
          <w:i w:val="0"/>
          <w:sz w:val="24"/>
        </w:rPr>
        <w:t>The MNF library was implemented in Python 3.10, using NumPy for array operations, SciPy for the generalised eigenvalue decomposition (scipy.linalg.eigh), and rasterio for GeoTIFF input and output. The library supports both global (whole-image) MNF and line-by-line MNF processing modes, configurable through a unified configuration interface. All three noise estimators — NPNE, TPNE, and 4PNE — are implemented as fully vectorised NumPy operations. Tikhonov regularisation and a Cholesky whitening fallback are applied automatically in the line-by-line mode when the covariance matrix becomes nearly singular.</w:t>
      </w:r>
    </w:p>
    <w:p>
      <w:pPr>
        <w:spacing w:before="0" w:after="120" w:line="240" w:lineRule="exact"/>
        <w:ind w:firstLine="425"/>
        <w:jc w:val="both"/>
      </w:pPr>
      <w:r>
        <w:rPr>
          <w:rFonts w:ascii="Times New Roman" w:hAnsi="Times New Roman" w:cs="Times New Roman"/>
          <w:rFonts w:ascii="Times New Roman" w:hAnsi="Times New Roman"/>
          <w:b w:val="0"/>
          <w:i w:val="0"/>
          <w:sz w:val="24"/>
        </w:rPr>
        <w:t>For each experiment, the MNF transform was applied in the forward-then-inverse direction. The inverse transform retained the top 20% of eigenvectors, corresponding to the 8 highest-SNR components out of 40 spectral bands.</w:t>
      </w:r>
    </w:p>
    <w:p>
      <w:pPr>
        <w:spacing w:before="240" w:after="120" w:line="280" w:lineRule="exact"/>
        <w:jc w:val="left"/>
      </w:pPr>
      <w:r>
        <w:rPr>
          <w:rFonts w:ascii="Times New Roman" w:hAnsi="Times New Roman" w:cs="Times New Roman"/>
          <w:rFonts w:ascii="Times New Roman" w:hAnsi="Times New Roman"/>
          <w:b/>
          <w:i w:val="0"/>
          <w:sz w:val="28"/>
        </w:rPr>
        <w:t>7  Results and Analysis</w:t>
      </w:r>
    </w:p>
    <w:p>
      <w:pPr>
        <w:spacing w:before="0" w:after="120" w:line="240" w:lineRule="exact"/>
        <w:ind w:firstLine="425"/>
        <w:jc w:val="both"/>
      </w:pPr>
      <w:r>
        <w:rPr>
          <w:rFonts w:ascii="Times New Roman" w:hAnsi="Times New Roman" w:cs="Times New Roman"/>
          <w:rFonts w:ascii="Times New Roman" w:hAnsi="Times New Roman"/>
          <w:b w:val="0"/>
          <w:i w:val="0"/>
          <w:sz w:val="24"/>
        </w:rPr>
        <w:t>To validate the effectiveness of the proposed noise estimation techniques, a detailed comparative analysis was performed between the TPNE method, the 4PNE method, and the conventional next-pixel approach (NPNE). Both noise calculation methods were evaluated using two different processing architectures: the Global MNF approach, in which the entire image was processed simultaneously using global statistics, and the line-by-line (LBL) approach, in which statistical parameters were updated incrementally as each line of the image was processed, making it suitable for real-time or streaming applications.</w:t>
      </w:r>
    </w:p>
    <w:p>
      <w:pPr>
        <w:spacing w:before="160" w:after="80" w:line="260" w:lineRule="exact"/>
        <w:jc w:val="left"/>
      </w:pPr>
      <w:r>
        <w:rPr>
          <w:rFonts w:ascii="Times New Roman" w:hAnsi="Times New Roman" w:cs="Times New Roman"/>
          <w:rFonts w:ascii="Times New Roman" w:hAnsi="Times New Roman"/>
          <w:b/>
          <w:i w:val="0"/>
          <w:sz w:val="24"/>
        </w:rPr>
        <w:t>7.1  Noise Estimation Variance</w:t>
      </w:r>
    </w:p>
    <w:p>
      <w:pPr>
        <w:spacing w:before="0" w:after="120" w:line="240" w:lineRule="exact"/>
        <w:ind w:firstLine="425"/>
        <w:jc w:val="both"/>
      </w:pPr>
      <w:r>
        <w:rPr>
          <w:rFonts w:ascii="Times New Roman" w:hAnsi="Times New Roman" w:cs="Times New Roman"/>
          <w:rFonts w:ascii="Times New Roman" w:hAnsi="Times New Roman"/>
          <w:b w:val="0"/>
          <w:i w:val="0"/>
          <w:sz w:val="24"/>
        </w:rPr>
        <w:t>Performance comparison was first analysed on the basis of noise estimation variance across selected bands under both LBL and Global MNF architectures, varying the number of inverse bands from 2 to 4. Table 1 presents the noise estimation variance for Band 30 and Band 33 using the LBL approach, and Table 2 presents the corresponding values for the Global MNF approach.</w:t>
      </w:r>
    </w:p>
    <w:p>
      <w:pPr>
        <w:spacing w:before="160" w:after="40" w:line="240" w:lineRule="exact"/>
        <w:jc w:val="center"/>
      </w:pPr>
      <w:r>
        <w:rPr>
          <w:rFonts w:ascii="Times New Roman" w:hAnsi="Times New Roman" w:cs="Times New Roman"/>
          <w:rFonts w:ascii="Times New Roman" w:hAnsi="Times New Roman"/>
          <w:b w:val="0"/>
          <w:i/>
          <w:sz w:val="22"/>
        </w:rPr>
        <w:t>Table 1: Noise estimation variance using the Line-by-Line (LBL) approach.</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D9D9D9"/>
          </w:tcPr>
          <w:p>
            <w:pPr>
              <w:jc w:val="center"/>
            </w:pPr>
            <w:r>
              <w:rPr>
                <w:rFonts w:ascii="Times New Roman" w:hAnsi="Times New Roman" w:cs="Times New Roman"/>
                <w:rFonts w:ascii="Times New Roman" w:hAnsi="Times New Roman"/>
                <w:b/>
                <w:i w:val="0"/>
                <w:sz w:val="22"/>
              </w:rPr>
              <w:t>Band</w:t>
            </w:r>
          </w:p>
        </w:tc>
        <w:tc>
          <w:tcPr>
            <w:tcW w:type="dxa" w:w="2268"/>
            <w:vAlign w:val="center"/>
            <w:shd w:val="clear" w:color="auto" w:fill="D9D9D9"/>
          </w:tcPr>
          <w:p>
            <w:pPr>
              <w:jc w:val="center"/>
            </w:pPr>
            <w:r>
              <w:rPr>
                <w:rFonts w:ascii="Times New Roman" w:hAnsi="Times New Roman" w:cs="Times New Roman"/>
                <w:rFonts w:ascii="Times New Roman" w:hAnsi="Times New Roman"/>
                <w:b/>
                <w:i w:val="0"/>
                <w:sz w:val="22"/>
              </w:rPr>
              <w:t>Inv. Bands</w:t>
            </w:r>
          </w:p>
        </w:tc>
        <w:tc>
          <w:tcPr>
            <w:tcW w:type="dxa" w:w="2268"/>
            <w:vAlign w:val="center"/>
            <w:shd w:val="clear" w:color="auto" w:fill="D9D9D9"/>
          </w:tcPr>
          <w:p>
            <w:pPr>
              <w:jc w:val="center"/>
            </w:pPr>
            <w:r>
              <w:rPr>
                <w:rFonts w:ascii="Times New Roman" w:hAnsi="Times New Roman" w:cs="Times New Roman"/>
                <w:rFonts w:ascii="Times New Roman" w:hAnsi="Times New Roman"/>
                <w:b/>
                <w:i w:val="0"/>
                <w:sz w:val="22"/>
              </w:rPr>
              <w:t>NPNE</w:t>
            </w:r>
          </w:p>
        </w:tc>
        <w:tc>
          <w:tcPr>
            <w:tcW w:type="dxa" w:w="2268"/>
            <w:vAlign w:val="center"/>
            <w:shd w:val="clear" w:color="auto" w:fill="D9D9D9"/>
          </w:tcPr>
          <w:p>
            <w:pPr>
              <w:jc w:val="center"/>
            </w:pPr>
            <w:r>
              <w:rPr>
                <w:rFonts w:ascii="Times New Roman" w:hAnsi="Times New Roman" w:cs="Times New Roman"/>
                <w:rFonts w:ascii="Times New Roman" w:hAnsi="Times New Roman"/>
                <w:b/>
                <w:i w:val="0"/>
                <w:sz w:val="22"/>
              </w:rPr>
              <w:t>TPNE</w:t>
            </w:r>
          </w:p>
        </w:tc>
      </w:tr>
      <w:tr>
        <w:tc>
          <w:tcPr>
            <w:tcW w:type="dxa" w:w="2268"/>
            <w:vAlign w:val="center"/>
          </w:tcPr>
          <w:p>
            <w:pPr>
              <w:jc w:val="center"/>
            </w:pPr>
            <w:r>
              <w:rPr>
                <w:rFonts w:ascii="Times New Roman" w:hAnsi="Times New Roman" w:cs="Times New Roman"/>
                <w:rFonts w:ascii="Times New Roman" w:hAnsi="Times New Roman"/>
                <w:b w:val="0"/>
                <w:i w:val="0"/>
                <w:sz w:val="22"/>
              </w:rPr>
              <w:t>30</w:t>
            </w:r>
          </w:p>
        </w:tc>
        <w:tc>
          <w:tcPr>
            <w:tcW w:type="dxa" w:w="2268"/>
            <w:vAlign w:val="center"/>
          </w:tcPr>
          <w:p>
            <w:pPr>
              <w:jc w:val="center"/>
            </w:pPr>
            <w:r>
              <w:rPr>
                <w:rFonts w:ascii="Times New Roman" w:hAnsi="Times New Roman" w:cs="Times New Roman"/>
                <w:rFonts w:ascii="Times New Roman" w:hAnsi="Times New Roman"/>
                <w:b w:val="0"/>
                <w:i w:val="0"/>
                <w:sz w:val="22"/>
              </w:rPr>
              <w:t>2</w:t>
            </w:r>
          </w:p>
        </w:tc>
        <w:tc>
          <w:tcPr>
            <w:tcW w:type="dxa" w:w="2268"/>
            <w:vAlign w:val="center"/>
          </w:tcPr>
          <w:p>
            <w:pPr>
              <w:jc w:val="center"/>
            </w:pPr>
            <w:r>
              <w:rPr>
                <w:rFonts w:ascii="Times New Roman" w:hAnsi="Times New Roman" w:cs="Times New Roman"/>
                <w:rFonts w:ascii="Times New Roman" w:hAnsi="Times New Roman"/>
                <w:b w:val="0"/>
                <w:i w:val="0"/>
                <w:sz w:val="22"/>
              </w:rPr>
              <w:t>0.0088</w:t>
            </w:r>
          </w:p>
        </w:tc>
        <w:tc>
          <w:tcPr>
            <w:tcW w:type="dxa" w:w="2268"/>
            <w:vAlign w:val="center"/>
          </w:tcPr>
          <w:p>
            <w:pPr>
              <w:jc w:val="center"/>
            </w:pPr>
            <w:r>
              <w:rPr>
                <w:rFonts w:ascii="Times New Roman" w:hAnsi="Times New Roman" w:cs="Times New Roman"/>
                <w:rFonts w:ascii="Times New Roman" w:hAnsi="Times New Roman"/>
                <w:b w:val="0"/>
                <w:i w:val="0"/>
                <w:sz w:val="22"/>
              </w:rPr>
              <w:t>0.0077</w:t>
            </w:r>
          </w:p>
        </w:tc>
      </w:tr>
      <w:tr>
        <w:tc>
          <w:tcPr>
            <w:tcW w:type="dxa" w:w="2268"/>
            <w:vAlign w:val="center"/>
          </w:tcPr>
          <w:p>
            <w:pPr>
              <w:jc w:val="center"/>
            </w:pPr>
            <w:r>
              <w:rPr>
                <w:rFonts w:ascii="Times New Roman" w:hAnsi="Times New Roman" w:cs="Times New Roman"/>
                <w:rFonts w:ascii="Times New Roman" w:hAnsi="Times New Roman"/>
                <w:b w:val="0"/>
                <w:i w:val="0"/>
                <w:sz w:val="22"/>
              </w:rPr>
              <w:t>30</w:t>
            </w:r>
          </w:p>
        </w:tc>
        <w:tc>
          <w:tcPr>
            <w:tcW w:type="dxa" w:w="2268"/>
            <w:vAlign w:val="center"/>
          </w:tcPr>
          <w:p>
            <w:pPr>
              <w:jc w:val="center"/>
            </w:pPr>
            <w:r>
              <w:rPr>
                <w:rFonts w:ascii="Times New Roman" w:hAnsi="Times New Roman" w:cs="Times New Roman"/>
                <w:rFonts w:ascii="Times New Roman" w:hAnsi="Times New Roman"/>
                <w:b w:val="0"/>
                <w:i w:val="0"/>
                <w:sz w:val="22"/>
              </w:rPr>
              <w:t>3</w:t>
            </w:r>
          </w:p>
        </w:tc>
        <w:tc>
          <w:tcPr>
            <w:tcW w:type="dxa" w:w="2268"/>
            <w:vAlign w:val="center"/>
          </w:tcPr>
          <w:p>
            <w:pPr>
              <w:jc w:val="center"/>
            </w:pPr>
            <w:r>
              <w:rPr>
                <w:rFonts w:ascii="Times New Roman" w:hAnsi="Times New Roman" w:cs="Times New Roman"/>
                <w:rFonts w:ascii="Times New Roman" w:hAnsi="Times New Roman"/>
                <w:b w:val="0"/>
                <w:i w:val="0"/>
                <w:sz w:val="22"/>
              </w:rPr>
              <w:t>0.0119</w:t>
            </w:r>
          </w:p>
        </w:tc>
        <w:tc>
          <w:tcPr>
            <w:tcW w:type="dxa" w:w="2268"/>
            <w:vAlign w:val="center"/>
          </w:tcPr>
          <w:p>
            <w:pPr>
              <w:jc w:val="center"/>
            </w:pPr>
            <w:r>
              <w:rPr>
                <w:rFonts w:ascii="Times New Roman" w:hAnsi="Times New Roman" w:cs="Times New Roman"/>
                <w:rFonts w:ascii="Times New Roman" w:hAnsi="Times New Roman"/>
                <w:b w:val="0"/>
                <w:i w:val="0"/>
                <w:sz w:val="22"/>
              </w:rPr>
              <w:t>0.0105</w:t>
            </w:r>
          </w:p>
        </w:tc>
      </w:tr>
      <w:tr>
        <w:tc>
          <w:tcPr>
            <w:tcW w:type="dxa" w:w="2268"/>
            <w:vAlign w:val="center"/>
          </w:tcPr>
          <w:p>
            <w:pPr>
              <w:jc w:val="center"/>
            </w:pPr>
            <w:r>
              <w:rPr>
                <w:rFonts w:ascii="Times New Roman" w:hAnsi="Times New Roman" w:cs="Times New Roman"/>
                <w:rFonts w:ascii="Times New Roman" w:hAnsi="Times New Roman"/>
                <w:b w:val="0"/>
                <w:i w:val="0"/>
                <w:sz w:val="22"/>
              </w:rPr>
              <w:t>30</w:t>
            </w:r>
          </w:p>
        </w:tc>
        <w:tc>
          <w:tcPr>
            <w:tcW w:type="dxa" w:w="2268"/>
            <w:vAlign w:val="center"/>
          </w:tcPr>
          <w:p>
            <w:pPr>
              <w:jc w:val="center"/>
            </w:pPr>
            <w:r>
              <w:rPr>
                <w:rFonts w:ascii="Times New Roman" w:hAnsi="Times New Roman" w:cs="Times New Roman"/>
                <w:rFonts w:ascii="Times New Roman" w:hAnsi="Times New Roman"/>
                <w:b w:val="0"/>
                <w:i w:val="0"/>
                <w:sz w:val="22"/>
              </w:rPr>
              <w:t>4</w:t>
            </w:r>
          </w:p>
        </w:tc>
        <w:tc>
          <w:tcPr>
            <w:tcW w:type="dxa" w:w="2268"/>
            <w:vAlign w:val="center"/>
          </w:tcPr>
          <w:p>
            <w:pPr>
              <w:jc w:val="center"/>
            </w:pPr>
            <w:r>
              <w:rPr>
                <w:rFonts w:ascii="Times New Roman" w:hAnsi="Times New Roman" w:cs="Times New Roman"/>
                <w:rFonts w:ascii="Times New Roman" w:hAnsi="Times New Roman"/>
                <w:b w:val="0"/>
                <w:i w:val="0"/>
                <w:sz w:val="22"/>
              </w:rPr>
              <w:t>0.0256</w:t>
            </w:r>
          </w:p>
        </w:tc>
        <w:tc>
          <w:tcPr>
            <w:tcW w:type="dxa" w:w="2268"/>
            <w:vAlign w:val="center"/>
          </w:tcPr>
          <w:p>
            <w:pPr>
              <w:jc w:val="center"/>
            </w:pPr>
            <w:r>
              <w:rPr>
                <w:rFonts w:ascii="Times New Roman" w:hAnsi="Times New Roman" w:cs="Times New Roman"/>
                <w:rFonts w:ascii="Times New Roman" w:hAnsi="Times New Roman"/>
                <w:b w:val="0"/>
                <w:i w:val="0"/>
                <w:sz w:val="22"/>
              </w:rPr>
              <w:t>0.0252</w:t>
            </w:r>
          </w:p>
        </w:tc>
      </w:tr>
      <w:tr>
        <w:tc>
          <w:tcPr>
            <w:tcW w:type="dxa" w:w="2268"/>
            <w:vAlign w:val="center"/>
          </w:tcPr>
          <w:p>
            <w:pPr>
              <w:jc w:val="center"/>
            </w:pPr>
            <w:r>
              <w:rPr>
                <w:rFonts w:ascii="Times New Roman" w:hAnsi="Times New Roman" w:cs="Times New Roman"/>
                <w:rFonts w:ascii="Times New Roman" w:hAnsi="Times New Roman"/>
                <w:b w:val="0"/>
                <w:i w:val="0"/>
                <w:sz w:val="22"/>
              </w:rPr>
              <w:t>33</w:t>
            </w:r>
          </w:p>
        </w:tc>
        <w:tc>
          <w:tcPr>
            <w:tcW w:type="dxa" w:w="2268"/>
            <w:vAlign w:val="center"/>
          </w:tcPr>
          <w:p>
            <w:pPr>
              <w:jc w:val="center"/>
            </w:pPr>
            <w:r>
              <w:rPr>
                <w:rFonts w:ascii="Times New Roman" w:hAnsi="Times New Roman" w:cs="Times New Roman"/>
                <w:rFonts w:ascii="Times New Roman" w:hAnsi="Times New Roman"/>
                <w:b w:val="0"/>
                <w:i w:val="0"/>
                <w:sz w:val="22"/>
              </w:rPr>
              <w:t>2</w:t>
            </w:r>
          </w:p>
        </w:tc>
        <w:tc>
          <w:tcPr>
            <w:tcW w:type="dxa" w:w="2268"/>
            <w:vAlign w:val="center"/>
          </w:tcPr>
          <w:p>
            <w:pPr>
              <w:jc w:val="center"/>
            </w:pPr>
            <w:r>
              <w:rPr>
                <w:rFonts w:ascii="Times New Roman" w:hAnsi="Times New Roman" w:cs="Times New Roman"/>
                <w:rFonts w:ascii="Times New Roman" w:hAnsi="Times New Roman"/>
                <w:b w:val="0"/>
                <w:i w:val="0"/>
                <w:sz w:val="22"/>
              </w:rPr>
              <w:t>0.5571</w:t>
            </w:r>
          </w:p>
        </w:tc>
        <w:tc>
          <w:tcPr>
            <w:tcW w:type="dxa" w:w="2268"/>
            <w:vAlign w:val="center"/>
          </w:tcPr>
          <w:p>
            <w:pPr>
              <w:jc w:val="center"/>
            </w:pPr>
            <w:r>
              <w:rPr>
                <w:rFonts w:ascii="Times New Roman" w:hAnsi="Times New Roman" w:cs="Times New Roman"/>
                <w:rFonts w:ascii="Times New Roman" w:hAnsi="Times New Roman"/>
                <w:b w:val="0"/>
                <w:i w:val="0"/>
                <w:sz w:val="22"/>
              </w:rPr>
              <w:t>0.4723</w:t>
            </w:r>
          </w:p>
        </w:tc>
      </w:tr>
      <w:tr>
        <w:tc>
          <w:tcPr>
            <w:tcW w:type="dxa" w:w="2268"/>
            <w:vAlign w:val="center"/>
          </w:tcPr>
          <w:p>
            <w:pPr>
              <w:jc w:val="center"/>
            </w:pPr>
            <w:r>
              <w:rPr>
                <w:rFonts w:ascii="Times New Roman" w:hAnsi="Times New Roman" w:cs="Times New Roman"/>
                <w:rFonts w:ascii="Times New Roman" w:hAnsi="Times New Roman"/>
                <w:b w:val="0"/>
                <w:i w:val="0"/>
                <w:sz w:val="22"/>
              </w:rPr>
              <w:t>33</w:t>
            </w:r>
          </w:p>
        </w:tc>
        <w:tc>
          <w:tcPr>
            <w:tcW w:type="dxa" w:w="2268"/>
            <w:vAlign w:val="center"/>
          </w:tcPr>
          <w:p>
            <w:pPr>
              <w:jc w:val="center"/>
            </w:pPr>
            <w:r>
              <w:rPr>
                <w:rFonts w:ascii="Times New Roman" w:hAnsi="Times New Roman" w:cs="Times New Roman"/>
                <w:rFonts w:ascii="Times New Roman" w:hAnsi="Times New Roman"/>
                <w:b w:val="0"/>
                <w:i w:val="0"/>
                <w:sz w:val="22"/>
              </w:rPr>
              <w:t>3</w:t>
            </w:r>
          </w:p>
        </w:tc>
        <w:tc>
          <w:tcPr>
            <w:tcW w:type="dxa" w:w="2268"/>
            <w:vAlign w:val="center"/>
          </w:tcPr>
          <w:p>
            <w:pPr>
              <w:jc w:val="center"/>
            </w:pPr>
            <w:r>
              <w:rPr>
                <w:rFonts w:ascii="Times New Roman" w:hAnsi="Times New Roman" w:cs="Times New Roman"/>
                <w:rFonts w:ascii="Times New Roman" w:hAnsi="Times New Roman"/>
                <w:b w:val="0"/>
                <w:i w:val="0"/>
                <w:sz w:val="22"/>
              </w:rPr>
              <w:t>0.8488</w:t>
            </w:r>
          </w:p>
        </w:tc>
        <w:tc>
          <w:tcPr>
            <w:tcW w:type="dxa" w:w="2268"/>
            <w:vAlign w:val="center"/>
          </w:tcPr>
          <w:p>
            <w:pPr>
              <w:jc w:val="center"/>
            </w:pPr>
            <w:r>
              <w:rPr>
                <w:rFonts w:ascii="Times New Roman" w:hAnsi="Times New Roman" w:cs="Times New Roman"/>
                <w:rFonts w:ascii="Times New Roman" w:hAnsi="Times New Roman"/>
                <w:b w:val="0"/>
                <w:i w:val="0"/>
                <w:sz w:val="22"/>
              </w:rPr>
              <w:t>0.8641</w:t>
            </w:r>
          </w:p>
        </w:tc>
      </w:tr>
      <w:tr>
        <w:tc>
          <w:tcPr>
            <w:tcW w:type="dxa" w:w="2268"/>
            <w:vAlign w:val="center"/>
          </w:tcPr>
          <w:p>
            <w:pPr>
              <w:jc w:val="center"/>
            </w:pPr>
            <w:r>
              <w:rPr>
                <w:rFonts w:ascii="Times New Roman" w:hAnsi="Times New Roman" w:cs="Times New Roman"/>
                <w:rFonts w:ascii="Times New Roman" w:hAnsi="Times New Roman"/>
                <w:b w:val="0"/>
                <w:i w:val="0"/>
                <w:sz w:val="22"/>
              </w:rPr>
              <w:t>33</w:t>
            </w:r>
          </w:p>
        </w:tc>
        <w:tc>
          <w:tcPr>
            <w:tcW w:type="dxa" w:w="2268"/>
            <w:vAlign w:val="center"/>
          </w:tcPr>
          <w:p>
            <w:pPr>
              <w:jc w:val="center"/>
            </w:pPr>
            <w:r>
              <w:rPr>
                <w:rFonts w:ascii="Times New Roman" w:hAnsi="Times New Roman" w:cs="Times New Roman"/>
                <w:rFonts w:ascii="Times New Roman" w:hAnsi="Times New Roman"/>
                <w:b w:val="0"/>
                <w:i w:val="0"/>
                <w:sz w:val="22"/>
              </w:rPr>
              <w:t>4</w:t>
            </w:r>
          </w:p>
        </w:tc>
        <w:tc>
          <w:tcPr>
            <w:tcW w:type="dxa" w:w="2268"/>
            <w:vAlign w:val="center"/>
          </w:tcPr>
          <w:p>
            <w:pPr>
              <w:jc w:val="center"/>
            </w:pPr>
            <w:r>
              <w:rPr>
                <w:rFonts w:ascii="Times New Roman" w:hAnsi="Times New Roman" w:cs="Times New Roman"/>
                <w:rFonts w:ascii="Times New Roman" w:hAnsi="Times New Roman"/>
                <w:b w:val="0"/>
                <w:i w:val="0"/>
                <w:sz w:val="22"/>
              </w:rPr>
              <w:t>1.1874</w:t>
            </w:r>
          </w:p>
        </w:tc>
        <w:tc>
          <w:tcPr>
            <w:tcW w:type="dxa" w:w="2268"/>
            <w:vAlign w:val="center"/>
          </w:tcPr>
          <w:p>
            <w:pPr>
              <w:jc w:val="center"/>
            </w:pPr>
            <w:r>
              <w:rPr>
                <w:rFonts w:ascii="Times New Roman" w:hAnsi="Times New Roman" w:cs="Times New Roman"/>
                <w:rFonts w:ascii="Times New Roman" w:hAnsi="Times New Roman"/>
                <w:b w:val="0"/>
                <w:i w:val="0"/>
                <w:sz w:val="22"/>
              </w:rPr>
              <w:t>1.2349</w:t>
            </w:r>
          </w:p>
        </w:tc>
      </w:tr>
    </w:tbl>
    <w:p/>
    <w:p>
      <w:pPr>
        <w:spacing w:before="160" w:after="40" w:line="240" w:lineRule="exact"/>
        <w:jc w:val="center"/>
      </w:pPr>
      <w:r>
        <w:rPr>
          <w:rFonts w:ascii="Times New Roman" w:hAnsi="Times New Roman" w:cs="Times New Roman"/>
          <w:rFonts w:ascii="Times New Roman" w:hAnsi="Times New Roman"/>
          <w:b w:val="0"/>
          <w:i/>
          <w:sz w:val="22"/>
        </w:rPr>
        <w:t>Table 2: Noise estimation variance using the Global MNF approach.</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D9D9D9"/>
          </w:tcPr>
          <w:p>
            <w:pPr>
              <w:jc w:val="center"/>
            </w:pPr>
            <w:r>
              <w:rPr>
                <w:rFonts w:ascii="Times New Roman" w:hAnsi="Times New Roman" w:cs="Times New Roman"/>
                <w:rFonts w:ascii="Times New Roman" w:hAnsi="Times New Roman"/>
                <w:b/>
                <w:i w:val="0"/>
                <w:sz w:val="22"/>
              </w:rPr>
              <w:t>Band</w:t>
            </w:r>
          </w:p>
        </w:tc>
        <w:tc>
          <w:tcPr>
            <w:tcW w:type="dxa" w:w="2268"/>
            <w:vAlign w:val="center"/>
            <w:shd w:val="clear" w:color="auto" w:fill="D9D9D9"/>
          </w:tcPr>
          <w:p>
            <w:pPr>
              <w:jc w:val="center"/>
            </w:pPr>
            <w:r>
              <w:rPr>
                <w:rFonts w:ascii="Times New Roman" w:hAnsi="Times New Roman" w:cs="Times New Roman"/>
                <w:rFonts w:ascii="Times New Roman" w:hAnsi="Times New Roman"/>
                <w:b/>
                <w:i w:val="0"/>
                <w:sz w:val="22"/>
              </w:rPr>
              <w:t>Inv. Bands</w:t>
            </w:r>
          </w:p>
        </w:tc>
        <w:tc>
          <w:tcPr>
            <w:tcW w:type="dxa" w:w="2268"/>
            <w:vAlign w:val="center"/>
            <w:shd w:val="clear" w:color="auto" w:fill="D9D9D9"/>
          </w:tcPr>
          <w:p>
            <w:pPr>
              <w:jc w:val="center"/>
            </w:pPr>
            <w:r>
              <w:rPr>
                <w:rFonts w:ascii="Times New Roman" w:hAnsi="Times New Roman" w:cs="Times New Roman"/>
                <w:rFonts w:ascii="Times New Roman" w:hAnsi="Times New Roman"/>
                <w:b/>
                <w:i w:val="0"/>
                <w:sz w:val="22"/>
              </w:rPr>
              <w:t>NPNE</w:t>
            </w:r>
          </w:p>
        </w:tc>
        <w:tc>
          <w:tcPr>
            <w:tcW w:type="dxa" w:w="2268"/>
            <w:vAlign w:val="center"/>
            <w:shd w:val="clear" w:color="auto" w:fill="D9D9D9"/>
          </w:tcPr>
          <w:p>
            <w:pPr>
              <w:jc w:val="center"/>
            </w:pPr>
            <w:r>
              <w:rPr>
                <w:rFonts w:ascii="Times New Roman" w:hAnsi="Times New Roman" w:cs="Times New Roman"/>
                <w:rFonts w:ascii="Times New Roman" w:hAnsi="Times New Roman"/>
                <w:b/>
                <w:i w:val="0"/>
                <w:sz w:val="22"/>
              </w:rPr>
              <w:t>TPNE</w:t>
            </w:r>
          </w:p>
        </w:tc>
      </w:tr>
      <w:tr>
        <w:tc>
          <w:tcPr>
            <w:tcW w:type="dxa" w:w="2268"/>
            <w:vAlign w:val="center"/>
          </w:tcPr>
          <w:p>
            <w:pPr>
              <w:jc w:val="center"/>
            </w:pPr>
            <w:r>
              <w:rPr>
                <w:rFonts w:ascii="Times New Roman" w:hAnsi="Times New Roman" w:cs="Times New Roman"/>
                <w:rFonts w:ascii="Times New Roman" w:hAnsi="Times New Roman"/>
                <w:b w:val="0"/>
                <w:i w:val="0"/>
                <w:sz w:val="22"/>
              </w:rPr>
              <w:t>30</w:t>
            </w:r>
          </w:p>
        </w:tc>
        <w:tc>
          <w:tcPr>
            <w:tcW w:type="dxa" w:w="2268"/>
            <w:vAlign w:val="center"/>
          </w:tcPr>
          <w:p>
            <w:pPr>
              <w:jc w:val="center"/>
            </w:pPr>
            <w:r>
              <w:rPr>
                <w:rFonts w:ascii="Times New Roman" w:hAnsi="Times New Roman" w:cs="Times New Roman"/>
                <w:rFonts w:ascii="Times New Roman" w:hAnsi="Times New Roman"/>
                <w:b w:val="0"/>
                <w:i w:val="0"/>
                <w:sz w:val="22"/>
              </w:rPr>
              <w:t>2</w:t>
            </w:r>
          </w:p>
        </w:tc>
        <w:tc>
          <w:tcPr>
            <w:tcW w:type="dxa" w:w="2268"/>
            <w:vAlign w:val="center"/>
          </w:tcPr>
          <w:p>
            <w:pPr>
              <w:jc w:val="center"/>
            </w:pPr>
            <w:r>
              <w:rPr>
                <w:rFonts w:ascii="Times New Roman" w:hAnsi="Times New Roman" w:cs="Times New Roman"/>
                <w:rFonts w:ascii="Times New Roman" w:hAnsi="Times New Roman"/>
                <w:b w:val="0"/>
                <w:i w:val="0"/>
                <w:sz w:val="22"/>
              </w:rPr>
              <w:t>0.0127</w:t>
            </w:r>
          </w:p>
        </w:tc>
        <w:tc>
          <w:tcPr>
            <w:tcW w:type="dxa" w:w="2268"/>
            <w:vAlign w:val="center"/>
          </w:tcPr>
          <w:p>
            <w:pPr>
              <w:jc w:val="center"/>
            </w:pPr>
            <w:r>
              <w:rPr>
                <w:rFonts w:ascii="Times New Roman" w:hAnsi="Times New Roman" w:cs="Times New Roman"/>
                <w:rFonts w:ascii="Times New Roman" w:hAnsi="Times New Roman"/>
                <w:b w:val="0"/>
                <w:i w:val="0"/>
                <w:sz w:val="22"/>
              </w:rPr>
              <w:t>0.0113</w:t>
            </w:r>
          </w:p>
        </w:tc>
      </w:tr>
      <w:tr>
        <w:tc>
          <w:tcPr>
            <w:tcW w:type="dxa" w:w="2268"/>
            <w:vAlign w:val="center"/>
          </w:tcPr>
          <w:p>
            <w:pPr>
              <w:jc w:val="center"/>
            </w:pPr>
            <w:r>
              <w:rPr>
                <w:rFonts w:ascii="Times New Roman" w:hAnsi="Times New Roman" w:cs="Times New Roman"/>
                <w:rFonts w:ascii="Times New Roman" w:hAnsi="Times New Roman"/>
                <w:b w:val="0"/>
                <w:i w:val="0"/>
                <w:sz w:val="22"/>
              </w:rPr>
              <w:t>30</w:t>
            </w:r>
          </w:p>
        </w:tc>
        <w:tc>
          <w:tcPr>
            <w:tcW w:type="dxa" w:w="2268"/>
            <w:vAlign w:val="center"/>
          </w:tcPr>
          <w:p>
            <w:pPr>
              <w:jc w:val="center"/>
            </w:pPr>
            <w:r>
              <w:rPr>
                <w:rFonts w:ascii="Times New Roman" w:hAnsi="Times New Roman" w:cs="Times New Roman"/>
                <w:rFonts w:ascii="Times New Roman" w:hAnsi="Times New Roman"/>
                <w:b w:val="0"/>
                <w:i w:val="0"/>
                <w:sz w:val="22"/>
              </w:rPr>
              <w:t>3</w:t>
            </w:r>
          </w:p>
        </w:tc>
        <w:tc>
          <w:tcPr>
            <w:tcW w:type="dxa" w:w="2268"/>
            <w:vAlign w:val="center"/>
          </w:tcPr>
          <w:p>
            <w:pPr>
              <w:jc w:val="center"/>
            </w:pPr>
            <w:r>
              <w:rPr>
                <w:rFonts w:ascii="Times New Roman" w:hAnsi="Times New Roman" w:cs="Times New Roman"/>
                <w:rFonts w:ascii="Times New Roman" w:hAnsi="Times New Roman"/>
                <w:b w:val="0"/>
                <w:i w:val="0"/>
                <w:sz w:val="22"/>
              </w:rPr>
              <w:t>0.0128</w:t>
            </w:r>
          </w:p>
        </w:tc>
        <w:tc>
          <w:tcPr>
            <w:tcW w:type="dxa" w:w="2268"/>
            <w:vAlign w:val="center"/>
          </w:tcPr>
          <w:p>
            <w:pPr>
              <w:jc w:val="center"/>
            </w:pPr>
            <w:r>
              <w:rPr>
                <w:rFonts w:ascii="Times New Roman" w:hAnsi="Times New Roman" w:cs="Times New Roman"/>
                <w:rFonts w:ascii="Times New Roman" w:hAnsi="Times New Roman"/>
                <w:b w:val="0"/>
                <w:i w:val="0"/>
                <w:sz w:val="22"/>
              </w:rPr>
              <w:t>0.0114</w:t>
            </w:r>
          </w:p>
        </w:tc>
      </w:tr>
      <w:tr>
        <w:tc>
          <w:tcPr>
            <w:tcW w:type="dxa" w:w="2268"/>
            <w:vAlign w:val="center"/>
          </w:tcPr>
          <w:p>
            <w:pPr>
              <w:jc w:val="center"/>
            </w:pPr>
            <w:r>
              <w:rPr>
                <w:rFonts w:ascii="Times New Roman" w:hAnsi="Times New Roman" w:cs="Times New Roman"/>
                <w:rFonts w:ascii="Times New Roman" w:hAnsi="Times New Roman"/>
                <w:b w:val="0"/>
                <w:i w:val="0"/>
                <w:sz w:val="22"/>
              </w:rPr>
              <w:t>30</w:t>
            </w:r>
          </w:p>
        </w:tc>
        <w:tc>
          <w:tcPr>
            <w:tcW w:type="dxa" w:w="2268"/>
            <w:vAlign w:val="center"/>
          </w:tcPr>
          <w:p>
            <w:pPr>
              <w:jc w:val="center"/>
            </w:pPr>
            <w:r>
              <w:rPr>
                <w:rFonts w:ascii="Times New Roman" w:hAnsi="Times New Roman" w:cs="Times New Roman"/>
                <w:rFonts w:ascii="Times New Roman" w:hAnsi="Times New Roman"/>
                <w:b w:val="0"/>
                <w:i w:val="0"/>
                <w:sz w:val="22"/>
              </w:rPr>
              <w:t>4</w:t>
            </w:r>
          </w:p>
        </w:tc>
        <w:tc>
          <w:tcPr>
            <w:tcW w:type="dxa" w:w="2268"/>
            <w:vAlign w:val="center"/>
          </w:tcPr>
          <w:p>
            <w:pPr>
              <w:jc w:val="center"/>
            </w:pPr>
            <w:r>
              <w:rPr>
                <w:rFonts w:ascii="Times New Roman" w:hAnsi="Times New Roman" w:cs="Times New Roman"/>
                <w:rFonts w:ascii="Times New Roman" w:hAnsi="Times New Roman"/>
                <w:b w:val="0"/>
                <w:i w:val="0"/>
                <w:sz w:val="22"/>
              </w:rPr>
              <w:t>0.0153</w:t>
            </w:r>
          </w:p>
        </w:tc>
        <w:tc>
          <w:tcPr>
            <w:tcW w:type="dxa" w:w="2268"/>
            <w:vAlign w:val="center"/>
          </w:tcPr>
          <w:p>
            <w:pPr>
              <w:jc w:val="center"/>
            </w:pPr>
            <w:r>
              <w:rPr>
                <w:rFonts w:ascii="Times New Roman" w:hAnsi="Times New Roman" w:cs="Times New Roman"/>
                <w:rFonts w:ascii="Times New Roman" w:hAnsi="Times New Roman"/>
                <w:b w:val="0"/>
                <w:i w:val="0"/>
                <w:sz w:val="22"/>
              </w:rPr>
              <w:t>0.0130</w:t>
            </w:r>
          </w:p>
        </w:tc>
      </w:tr>
      <w:tr>
        <w:tc>
          <w:tcPr>
            <w:tcW w:type="dxa" w:w="2268"/>
            <w:vAlign w:val="center"/>
          </w:tcPr>
          <w:p>
            <w:pPr>
              <w:jc w:val="center"/>
            </w:pPr>
            <w:r>
              <w:rPr>
                <w:rFonts w:ascii="Times New Roman" w:hAnsi="Times New Roman" w:cs="Times New Roman"/>
                <w:rFonts w:ascii="Times New Roman" w:hAnsi="Times New Roman"/>
                <w:b w:val="0"/>
                <w:i w:val="0"/>
                <w:sz w:val="22"/>
              </w:rPr>
              <w:t>33</w:t>
            </w:r>
          </w:p>
        </w:tc>
        <w:tc>
          <w:tcPr>
            <w:tcW w:type="dxa" w:w="2268"/>
            <w:vAlign w:val="center"/>
          </w:tcPr>
          <w:p>
            <w:pPr>
              <w:jc w:val="center"/>
            </w:pPr>
            <w:r>
              <w:rPr>
                <w:rFonts w:ascii="Times New Roman" w:hAnsi="Times New Roman" w:cs="Times New Roman"/>
                <w:rFonts w:ascii="Times New Roman" w:hAnsi="Times New Roman"/>
                <w:b w:val="0"/>
                <w:i w:val="0"/>
                <w:sz w:val="22"/>
              </w:rPr>
              <w:t>2</w:t>
            </w:r>
          </w:p>
        </w:tc>
        <w:tc>
          <w:tcPr>
            <w:tcW w:type="dxa" w:w="2268"/>
            <w:vAlign w:val="center"/>
          </w:tcPr>
          <w:p>
            <w:pPr>
              <w:jc w:val="center"/>
            </w:pPr>
            <w:r>
              <w:rPr>
                <w:rFonts w:ascii="Times New Roman" w:hAnsi="Times New Roman" w:cs="Times New Roman"/>
                <w:rFonts w:ascii="Times New Roman" w:hAnsi="Times New Roman"/>
                <w:b w:val="0"/>
                <w:i w:val="0"/>
                <w:sz w:val="22"/>
              </w:rPr>
              <w:t>0.5655</w:t>
            </w:r>
          </w:p>
        </w:tc>
        <w:tc>
          <w:tcPr>
            <w:tcW w:type="dxa" w:w="2268"/>
            <w:vAlign w:val="center"/>
          </w:tcPr>
          <w:p>
            <w:pPr>
              <w:jc w:val="center"/>
            </w:pPr>
            <w:r>
              <w:rPr>
                <w:rFonts w:ascii="Times New Roman" w:hAnsi="Times New Roman" w:cs="Times New Roman"/>
                <w:rFonts w:ascii="Times New Roman" w:hAnsi="Times New Roman"/>
                <w:b w:val="0"/>
                <w:i w:val="0"/>
                <w:sz w:val="22"/>
              </w:rPr>
              <w:t>0.5457</w:t>
            </w:r>
          </w:p>
        </w:tc>
      </w:tr>
      <w:tr>
        <w:tc>
          <w:tcPr>
            <w:tcW w:type="dxa" w:w="2268"/>
            <w:vAlign w:val="center"/>
          </w:tcPr>
          <w:p>
            <w:pPr>
              <w:jc w:val="center"/>
            </w:pPr>
            <w:r>
              <w:rPr>
                <w:rFonts w:ascii="Times New Roman" w:hAnsi="Times New Roman" w:cs="Times New Roman"/>
                <w:rFonts w:ascii="Times New Roman" w:hAnsi="Times New Roman"/>
                <w:b w:val="0"/>
                <w:i w:val="0"/>
                <w:sz w:val="22"/>
              </w:rPr>
              <w:t>33</w:t>
            </w:r>
          </w:p>
        </w:tc>
        <w:tc>
          <w:tcPr>
            <w:tcW w:type="dxa" w:w="2268"/>
            <w:vAlign w:val="center"/>
          </w:tcPr>
          <w:p>
            <w:pPr>
              <w:jc w:val="center"/>
            </w:pPr>
            <w:r>
              <w:rPr>
                <w:rFonts w:ascii="Times New Roman" w:hAnsi="Times New Roman" w:cs="Times New Roman"/>
                <w:rFonts w:ascii="Times New Roman" w:hAnsi="Times New Roman"/>
                <w:b w:val="0"/>
                <w:i w:val="0"/>
                <w:sz w:val="22"/>
              </w:rPr>
              <w:t>3</w:t>
            </w:r>
          </w:p>
        </w:tc>
        <w:tc>
          <w:tcPr>
            <w:tcW w:type="dxa" w:w="2268"/>
            <w:vAlign w:val="center"/>
          </w:tcPr>
          <w:p>
            <w:pPr>
              <w:jc w:val="center"/>
            </w:pPr>
            <w:r>
              <w:rPr>
                <w:rFonts w:ascii="Times New Roman" w:hAnsi="Times New Roman" w:cs="Times New Roman"/>
                <w:rFonts w:ascii="Times New Roman" w:hAnsi="Times New Roman"/>
                <w:b w:val="0"/>
                <w:i w:val="0"/>
                <w:sz w:val="22"/>
              </w:rPr>
              <w:t>0.6044</w:t>
            </w:r>
          </w:p>
        </w:tc>
        <w:tc>
          <w:tcPr>
            <w:tcW w:type="dxa" w:w="2268"/>
            <w:vAlign w:val="center"/>
          </w:tcPr>
          <w:p>
            <w:pPr>
              <w:jc w:val="center"/>
            </w:pPr>
            <w:r>
              <w:rPr>
                <w:rFonts w:ascii="Times New Roman" w:hAnsi="Times New Roman" w:cs="Times New Roman"/>
                <w:rFonts w:ascii="Times New Roman" w:hAnsi="Times New Roman"/>
                <w:b w:val="0"/>
                <w:i w:val="0"/>
                <w:sz w:val="22"/>
              </w:rPr>
              <w:t>0.5880</w:t>
            </w:r>
          </w:p>
        </w:tc>
      </w:tr>
      <w:tr>
        <w:tc>
          <w:tcPr>
            <w:tcW w:type="dxa" w:w="2268"/>
            <w:vAlign w:val="center"/>
          </w:tcPr>
          <w:p>
            <w:pPr>
              <w:jc w:val="center"/>
            </w:pPr>
            <w:r>
              <w:rPr>
                <w:rFonts w:ascii="Times New Roman" w:hAnsi="Times New Roman" w:cs="Times New Roman"/>
                <w:rFonts w:ascii="Times New Roman" w:hAnsi="Times New Roman"/>
                <w:b w:val="0"/>
                <w:i w:val="0"/>
                <w:sz w:val="22"/>
              </w:rPr>
              <w:t>33</w:t>
            </w:r>
          </w:p>
        </w:tc>
        <w:tc>
          <w:tcPr>
            <w:tcW w:type="dxa" w:w="2268"/>
            <w:vAlign w:val="center"/>
          </w:tcPr>
          <w:p>
            <w:pPr>
              <w:jc w:val="center"/>
            </w:pPr>
            <w:r>
              <w:rPr>
                <w:rFonts w:ascii="Times New Roman" w:hAnsi="Times New Roman" w:cs="Times New Roman"/>
                <w:rFonts w:ascii="Times New Roman" w:hAnsi="Times New Roman"/>
                <w:b w:val="0"/>
                <w:i w:val="0"/>
                <w:sz w:val="22"/>
              </w:rPr>
              <w:t>4</w:t>
            </w:r>
          </w:p>
        </w:tc>
        <w:tc>
          <w:tcPr>
            <w:tcW w:type="dxa" w:w="2268"/>
            <w:vAlign w:val="center"/>
          </w:tcPr>
          <w:p>
            <w:pPr>
              <w:jc w:val="center"/>
            </w:pPr>
            <w:r>
              <w:rPr>
                <w:rFonts w:ascii="Times New Roman" w:hAnsi="Times New Roman" w:cs="Times New Roman"/>
                <w:rFonts w:ascii="Times New Roman" w:hAnsi="Times New Roman"/>
                <w:b w:val="0"/>
                <w:i w:val="0"/>
                <w:sz w:val="22"/>
              </w:rPr>
              <w:t>0.6063</w:t>
            </w:r>
          </w:p>
        </w:tc>
        <w:tc>
          <w:tcPr>
            <w:tcW w:type="dxa" w:w="2268"/>
            <w:vAlign w:val="center"/>
          </w:tcPr>
          <w:p>
            <w:pPr>
              <w:jc w:val="center"/>
            </w:pPr>
            <w:r>
              <w:rPr>
                <w:rFonts w:ascii="Times New Roman" w:hAnsi="Times New Roman" w:cs="Times New Roman"/>
                <w:rFonts w:ascii="Times New Roman" w:hAnsi="Times New Roman"/>
                <w:b w:val="0"/>
                <w:i w:val="0"/>
                <w:sz w:val="22"/>
              </w:rPr>
              <w:t>0.5884</w:t>
            </w:r>
          </w:p>
        </w:tc>
      </w:tr>
    </w:tbl>
    <w:p/>
    <w:p>
      <w:pPr>
        <w:spacing w:before="0" w:after="120" w:line="240" w:lineRule="exact"/>
        <w:ind w:firstLine="425"/>
        <w:jc w:val="both"/>
      </w:pPr>
      <w:r>
        <w:rPr>
          <w:rFonts w:ascii="Times New Roman" w:hAnsi="Times New Roman" w:cs="Times New Roman"/>
          <w:rFonts w:ascii="Times New Roman" w:hAnsi="Times New Roman"/>
          <w:b w:val="0"/>
          <w:i w:val="0"/>
          <w:sz w:val="24"/>
        </w:rPr>
        <w:t>From Tables 1 and 2, it is observed that the TPNE method consistently produces lower noise variance than the conventional next-pixel method across all bands and inverse band configurations. This reduction is evident for both Line-by-Line (LBL) and Global MNF processing, indicating that the TPNE approach provides a more reliable and stable noise estimate by better suppressing spatially correlated signal components.</w:t>
      </w:r>
    </w:p>
    <w:p>
      <w:pPr>
        <w:spacing w:before="0" w:after="120" w:line="240" w:lineRule="exact"/>
        <w:ind w:firstLine="425"/>
        <w:jc w:val="both"/>
      </w:pPr>
      <w:r>
        <w:rPr>
          <w:rFonts w:ascii="Times New Roman" w:hAnsi="Times New Roman" w:cs="Times New Roman"/>
          <w:rFonts w:ascii="Times New Roman" w:hAnsi="Times New Roman"/>
          <w:b w:val="0"/>
          <w:i w:val="0"/>
          <w:sz w:val="24"/>
        </w:rPr>
        <w:t>Performance comparison was further analysed on the basis of the number of bands that showed improvement. When the first two eigenvectors were used as inverse bands, the LBL approach demonstrated improvements in 35 spectral bands. When the number of inverse bands was increased to three, the performance of the LBL approach improved further, with enhancements observed in 39 bands. In this configuration, the LBL approach slightly outperformed the global MNF approach, which showed improvements in 37 bands. When the first four eigenvectors were employed, the LBL approach maintained consistent performance, continuing to improve 39 bands. In contrast, the global MNF approach exhibited stable behaviour, with improvements observed in 38 bands.</w:t>
      </w:r>
    </w:p>
    <w:p>
      <w:pPr>
        <w:spacing w:before="0" w:after="120" w:line="240" w:lineRule="exact"/>
        <w:ind w:firstLine="425"/>
        <w:jc w:val="both"/>
      </w:pPr>
      <w:r>
        <w:rPr>
          <w:rFonts w:ascii="Times New Roman" w:hAnsi="Times New Roman" w:cs="Times New Roman"/>
          <w:rFonts w:ascii="Times New Roman" w:hAnsi="Times New Roman"/>
          <w:b w:val="0"/>
          <w:i w:val="0"/>
          <w:sz w:val="24"/>
        </w:rPr>
        <w:t>In addition to the number of improved bands, the numerical improvement values were also examined and found to follow a similar trend. For Band 30, when the first two eigenvectors were used, the LBL approach achieved an improvement of 7.53%, which was higher than the improvement of 5.97% obtained using the global MNF approach. When the first three eigenvectors were considered, the improvement produced by the LBL approach decreased to 4.66%, while the improvement obtained using the global MNF approach remained nearly unchanged at 5.95%. Similarly, for Band 33, using the first two eigenvectors, the LBL approach resulted in an improvement of 5.53%, whereas the global MNF approach achieved a substantially lower improvement of 1.80%.</w:t>
      </w:r>
    </w:p>
    <w:p>
      <w:pPr>
        <w:spacing w:before="160" w:after="80" w:line="260" w:lineRule="exact"/>
        <w:jc w:val="left"/>
      </w:pPr>
      <w:r>
        <w:rPr>
          <w:rFonts w:ascii="Times New Roman" w:hAnsi="Times New Roman" w:cs="Times New Roman"/>
          <w:rFonts w:ascii="Times New Roman" w:hAnsi="Times New Roman"/>
          <w:b/>
          <w:i w:val="0"/>
          <w:sz w:val="24"/>
        </w:rPr>
        <w:t>7.2  Per-Band SNR, SSIM, and PSNR Analysis</w:t>
      </w:r>
    </w:p>
    <w:p>
      <w:pPr>
        <w:spacing w:before="0" w:after="120" w:line="240" w:lineRule="exact"/>
        <w:ind w:firstLine="425"/>
        <w:jc w:val="both"/>
      </w:pPr>
      <w:r>
        <w:rPr>
          <w:rFonts w:ascii="Times New Roman" w:hAnsi="Times New Roman" w:cs="Times New Roman"/>
          <w:rFonts w:ascii="Times New Roman" w:hAnsi="Times New Roman"/>
          <w:b w:val="0"/>
          <w:i w:val="0"/>
          <w:sz w:val="24"/>
        </w:rPr>
        <w:t>A comprehensive per-band analysis was conducted using the Global MNF architecture with 20% of bands retained in the inverse transform (8 of 40 bands). For each of the 40 spectral bands, SNR before and after MNF, SNR gain, SSIM between the original and reconstructed band, and PSNR were computed for all three noise estimation methods. Table 3 presents the overall summary across all bands.</w:t>
      </w:r>
    </w:p>
    <w:p>
      <w:pPr>
        <w:spacing w:before="160" w:after="40" w:line="240" w:lineRule="exact"/>
        <w:jc w:val="center"/>
      </w:pPr>
      <w:r>
        <w:rPr>
          <w:rFonts w:ascii="Times New Roman" w:hAnsi="Times New Roman" w:cs="Times New Roman"/>
          <w:rFonts w:ascii="Times New Roman" w:hAnsi="Times New Roman"/>
          <w:b w:val="0"/>
          <w:i/>
          <w:sz w:val="22"/>
        </w:rPr>
        <w:t>Table 3: Per-method summary — reflectance dataset (40 bands, 20% inverse, Global MNF).</w:t>
      </w:r>
    </w:p>
    <w:tbl>
      <w:tblPr>
        <w:tblStyle w:val="TableGrid"/>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c>
          <w:tcPr>
            <w:tcW w:type="dxa" w:w="1134"/>
            <w:vAlign w:val="center"/>
            <w:shd w:val="clear" w:color="auto" w:fill="D9D9D9"/>
          </w:tcPr>
          <w:p>
            <w:pPr>
              <w:jc w:val="center"/>
            </w:pPr>
            <w:r>
              <w:rPr>
                <w:rFonts w:ascii="Times New Roman" w:hAnsi="Times New Roman" w:cs="Times New Roman"/>
                <w:rFonts w:ascii="Times New Roman" w:hAnsi="Times New Roman"/>
                <w:b/>
                <w:i w:val="0"/>
                <w:sz w:val="22"/>
              </w:rPr>
              <w:t>Method</w:t>
            </w:r>
          </w:p>
        </w:tc>
        <w:tc>
          <w:tcPr>
            <w:tcW w:type="dxa" w:w="1134"/>
            <w:vAlign w:val="center"/>
            <w:shd w:val="clear" w:color="auto" w:fill="D9D9D9"/>
          </w:tcPr>
          <w:p>
            <w:pPr>
              <w:jc w:val="center"/>
            </w:pPr>
            <w:r>
              <w:rPr>
                <w:rFonts w:ascii="Times New Roman" w:hAnsi="Times New Roman" w:cs="Times New Roman"/>
                <w:rFonts w:ascii="Times New Roman" w:hAnsi="Times New Roman"/>
                <w:b/>
                <w:i w:val="0"/>
                <w:sz w:val="22"/>
              </w:rPr>
              <w:t>Bands</w:t>
              <w:br/>
              <w:t>Enhanced</w:t>
            </w:r>
          </w:p>
        </w:tc>
        <w:tc>
          <w:tcPr>
            <w:tcW w:type="dxa" w:w="1134"/>
            <w:vAlign w:val="center"/>
            <w:shd w:val="clear" w:color="auto" w:fill="D9D9D9"/>
          </w:tcPr>
          <w:p>
            <w:pPr>
              <w:jc w:val="center"/>
            </w:pPr>
            <w:r>
              <w:rPr>
                <w:rFonts w:ascii="Times New Roman" w:hAnsi="Times New Roman" w:cs="Times New Roman"/>
                <w:rFonts w:ascii="Times New Roman" w:hAnsi="Times New Roman"/>
                <w:b/>
                <w:i w:val="0"/>
                <w:sz w:val="22"/>
              </w:rPr>
              <w:t>Mean SNR</w:t>
              <w:br/>
              <w:t>Gain</w:t>
            </w:r>
          </w:p>
        </w:tc>
        <w:tc>
          <w:tcPr>
            <w:tcW w:type="dxa" w:w="1134"/>
            <w:vAlign w:val="center"/>
            <w:shd w:val="clear" w:color="auto" w:fill="D9D9D9"/>
          </w:tcPr>
          <w:p>
            <w:pPr>
              <w:jc w:val="center"/>
            </w:pPr>
            <w:r>
              <w:rPr>
                <w:rFonts w:ascii="Times New Roman" w:hAnsi="Times New Roman" w:cs="Times New Roman"/>
                <w:rFonts w:ascii="Times New Roman" w:hAnsi="Times New Roman"/>
                <w:b/>
                <w:i w:val="0"/>
                <w:sz w:val="22"/>
              </w:rPr>
              <w:t>Mean SSIM</w:t>
            </w:r>
          </w:p>
        </w:tc>
        <w:tc>
          <w:tcPr>
            <w:tcW w:type="dxa" w:w="1134"/>
            <w:vAlign w:val="center"/>
            <w:shd w:val="clear" w:color="auto" w:fill="D9D9D9"/>
          </w:tcPr>
          <w:p>
            <w:pPr>
              <w:jc w:val="center"/>
            </w:pPr>
            <w:r>
              <w:rPr>
                <w:rFonts w:ascii="Times New Roman" w:hAnsi="Times New Roman" w:cs="Times New Roman"/>
                <w:rFonts w:ascii="Times New Roman" w:hAnsi="Times New Roman"/>
                <w:b/>
                <w:i w:val="0"/>
                <w:sz w:val="22"/>
              </w:rPr>
              <w:t>Mean PSNR</w:t>
              <w:br/>
              <w:t>(dB)</w:t>
            </w:r>
          </w:p>
        </w:tc>
        <w:tc>
          <w:tcPr>
            <w:tcW w:type="dxa" w:w="1134"/>
            <w:vAlign w:val="center"/>
            <w:shd w:val="clear" w:color="auto" w:fill="D9D9D9"/>
          </w:tcPr>
          <w:p>
            <w:pPr>
              <w:jc w:val="center"/>
            </w:pPr>
            <w:r>
              <w:rPr>
                <w:rFonts w:ascii="Times New Roman" w:hAnsi="Times New Roman" w:cs="Times New Roman"/>
                <w:rFonts w:ascii="Times New Roman" w:hAnsi="Times New Roman"/>
                <w:b/>
                <w:i w:val="0"/>
                <w:sz w:val="22"/>
              </w:rPr>
              <w:t>Bands Beating</w:t>
              <w:br/>
              <w:t>NPNE (SNR Gain)</w:t>
            </w:r>
          </w:p>
        </w:tc>
        <w:tc>
          <w:tcPr>
            <w:tcW w:type="dxa" w:w="1134"/>
            <w:vAlign w:val="center"/>
            <w:shd w:val="clear" w:color="auto" w:fill="D9D9D9"/>
          </w:tcPr>
          <w:p>
            <w:pPr>
              <w:jc w:val="center"/>
            </w:pPr>
            <w:r>
              <w:rPr>
                <w:rFonts w:ascii="Times New Roman" w:hAnsi="Times New Roman" w:cs="Times New Roman"/>
                <w:rFonts w:ascii="Times New Roman" w:hAnsi="Times New Roman"/>
                <w:b/>
                <w:i w:val="0"/>
                <w:sz w:val="22"/>
              </w:rPr>
              <w:t>Bands Beating</w:t>
              <w:br/>
              <w:t>NPNE (SSIM)</w:t>
            </w:r>
          </w:p>
        </w:tc>
        <w:tc>
          <w:tcPr>
            <w:tcW w:type="dxa" w:w="1134"/>
            <w:vAlign w:val="center"/>
            <w:shd w:val="clear" w:color="auto" w:fill="D9D9D9"/>
          </w:tcPr>
          <w:p>
            <w:pPr>
              <w:jc w:val="center"/>
            </w:pPr>
            <w:r>
              <w:rPr>
                <w:rFonts w:ascii="Times New Roman" w:hAnsi="Times New Roman" w:cs="Times New Roman"/>
                <w:rFonts w:ascii="Times New Roman" w:hAnsi="Times New Roman"/>
                <w:b/>
                <w:i w:val="0"/>
                <w:sz w:val="22"/>
              </w:rPr>
              <w:t>Bands Beating</w:t>
              <w:br/>
              <w:t>NPNE (PSNR)</w:t>
            </w:r>
          </w:p>
        </w:tc>
      </w:tr>
      <w:tr>
        <w:tc>
          <w:tcPr>
            <w:tcW w:type="dxa" w:w="1134"/>
            <w:vAlign w:val="center"/>
          </w:tcPr>
          <w:p>
            <w:pPr>
              <w:jc w:val="center"/>
            </w:pPr>
            <w:r>
              <w:rPr>
                <w:rFonts w:ascii="Times New Roman" w:hAnsi="Times New Roman" w:cs="Times New Roman"/>
                <w:rFonts w:ascii="Times New Roman" w:hAnsi="Times New Roman"/>
                <w:b w:val="0"/>
                <w:i w:val="0"/>
                <w:sz w:val="22"/>
              </w:rPr>
              <w:t>NPNE</w:t>
            </w:r>
          </w:p>
        </w:tc>
        <w:tc>
          <w:tcPr>
            <w:tcW w:type="dxa" w:w="1134"/>
            <w:vAlign w:val="center"/>
          </w:tcPr>
          <w:p>
            <w:pPr>
              <w:jc w:val="center"/>
            </w:pPr>
            <w:r>
              <w:rPr>
                <w:rFonts w:ascii="Times New Roman" w:hAnsi="Times New Roman" w:cs="Times New Roman"/>
                <w:rFonts w:ascii="Times New Roman" w:hAnsi="Times New Roman"/>
                <w:b w:val="0"/>
                <w:i w:val="0"/>
                <w:sz w:val="22"/>
              </w:rPr>
              <w:t>40 / 40</w:t>
              <w:br/>
              <w:t>(100%)</w:t>
            </w:r>
          </w:p>
        </w:tc>
        <w:tc>
          <w:tcPr>
            <w:tcW w:type="dxa" w:w="1134"/>
            <w:vAlign w:val="center"/>
          </w:tcPr>
          <w:p>
            <w:pPr>
              <w:jc w:val="center"/>
            </w:pPr>
            <w:r>
              <w:rPr>
                <w:rFonts w:ascii="Times New Roman" w:hAnsi="Times New Roman" w:cs="Times New Roman"/>
                <w:rFonts w:ascii="Times New Roman" w:hAnsi="Times New Roman"/>
                <w:b w:val="0"/>
                <w:i w:val="0"/>
                <w:sz w:val="22"/>
              </w:rPr>
              <w:t>+0.0467</w:t>
            </w:r>
          </w:p>
        </w:tc>
        <w:tc>
          <w:tcPr>
            <w:tcW w:type="dxa" w:w="1134"/>
            <w:vAlign w:val="center"/>
          </w:tcPr>
          <w:p>
            <w:pPr>
              <w:jc w:val="center"/>
            </w:pPr>
            <w:r>
              <w:rPr>
                <w:rFonts w:ascii="Times New Roman" w:hAnsi="Times New Roman" w:cs="Times New Roman"/>
                <w:rFonts w:ascii="Times New Roman" w:hAnsi="Times New Roman"/>
                <w:b w:val="0"/>
                <w:i w:val="0"/>
                <w:sz w:val="22"/>
              </w:rPr>
              <w:t>0.9438</w:t>
            </w:r>
          </w:p>
        </w:tc>
        <w:tc>
          <w:tcPr>
            <w:tcW w:type="dxa" w:w="1134"/>
            <w:vAlign w:val="center"/>
          </w:tcPr>
          <w:p>
            <w:pPr>
              <w:jc w:val="center"/>
            </w:pPr>
            <w:r>
              <w:rPr>
                <w:rFonts w:ascii="Times New Roman" w:hAnsi="Times New Roman" w:cs="Times New Roman"/>
                <w:rFonts w:ascii="Times New Roman" w:hAnsi="Times New Roman"/>
                <w:b w:val="0"/>
                <w:i w:val="0"/>
                <w:sz w:val="22"/>
              </w:rPr>
              <w:t>43.98</w:t>
            </w:r>
          </w:p>
        </w:tc>
        <w:tc>
          <w:tcPr>
            <w:tcW w:type="dxa" w:w="1134"/>
            <w:vAlign w:val="center"/>
          </w:tcPr>
          <w:p>
            <w:pPr>
              <w:jc w:val="center"/>
            </w:pPr>
            <w:r>
              <w:rPr>
                <w:rFonts w:ascii="Times New Roman" w:hAnsi="Times New Roman" w:cs="Times New Roman"/>
                <w:rFonts w:ascii="Times New Roman" w:hAnsi="Times New Roman"/>
                <w:b w:val="0"/>
                <w:i w:val="0"/>
                <w:sz w:val="22"/>
              </w:rPr>
              <w:t>—</w:t>
            </w:r>
          </w:p>
        </w:tc>
        <w:tc>
          <w:tcPr>
            <w:tcW w:type="dxa" w:w="1134"/>
            <w:vAlign w:val="center"/>
          </w:tcPr>
          <w:p>
            <w:pPr>
              <w:jc w:val="center"/>
            </w:pPr>
            <w:r>
              <w:rPr>
                <w:rFonts w:ascii="Times New Roman" w:hAnsi="Times New Roman" w:cs="Times New Roman"/>
                <w:rFonts w:ascii="Times New Roman" w:hAnsi="Times New Roman"/>
                <w:b w:val="0"/>
                <w:i w:val="0"/>
                <w:sz w:val="22"/>
              </w:rPr>
              <w:t>—</w:t>
            </w:r>
          </w:p>
        </w:tc>
        <w:tc>
          <w:tcPr>
            <w:tcW w:type="dxa" w:w="1134"/>
            <w:vAlign w:val="center"/>
          </w:tcPr>
          <w:p>
            <w:pPr>
              <w:jc w:val="center"/>
            </w:pPr>
            <w:r>
              <w:rPr>
                <w:rFonts w:ascii="Times New Roman" w:hAnsi="Times New Roman" w:cs="Times New Roman"/>
                <w:rFonts w:ascii="Times New Roman" w:hAnsi="Times New Roman"/>
                <w:b w:val="0"/>
                <w:i w:val="0"/>
                <w:sz w:val="22"/>
              </w:rPr>
              <w:t>—</w:t>
            </w:r>
          </w:p>
        </w:tc>
      </w:tr>
      <w:tr>
        <w:tc>
          <w:tcPr>
            <w:tcW w:type="dxa" w:w="1134"/>
            <w:vAlign w:val="center"/>
          </w:tcPr>
          <w:p>
            <w:pPr>
              <w:jc w:val="center"/>
            </w:pPr>
            <w:r>
              <w:rPr>
                <w:rFonts w:ascii="Times New Roman" w:hAnsi="Times New Roman" w:cs="Times New Roman"/>
                <w:rFonts w:ascii="Times New Roman" w:hAnsi="Times New Roman"/>
                <w:b w:val="0"/>
                <w:i w:val="0"/>
                <w:sz w:val="22"/>
              </w:rPr>
              <w:t>TPNE</w:t>
            </w:r>
          </w:p>
        </w:tc>
        <w:tc>
          <w:tcPr>
            <w:tcW w:type="dxa" w:w="1134"/>
            <w:vAlign w:val="center"/>
          </w:tcPr>
          <w:p>
            <w:pPr>
              <w:jc w:val="center"/>
            </w:pPr>
            <w:r>
              <w:rPr>
                <w:rFonts w:ascii="Times New Roman" w:hAnsi="Times New Roman" w:cs="Times New Roman"/>
                <w:rFonts w:ascii="Times New Roman" w:hAnsi="Times New Roman"/>
                <w:b w:val="0"/>
                <w:i w:val="0"/>
                <w:sz w:val="22"/>
              </w:rPr>
              <w:t>40 / 40</w:t>
              <w:br/>
              <w:t>(100%)</w:t>
            </w:r>
          </w:p>
        </w:tc>
        <w:tc>
          <w:tcPr>
            <w:tcW w:type="dxa" w:w="1134"/>
            <w:vAlign w:val="center"/>
          </w:tcPr>
          <w:p>
            <w:pPr>
              <w:jc w:val="center"/>
            </w:pPr>
            <w:r>
              <w:rPr>
                <w:rFonts w:ascii="Times New Roman" w:hAnsi="Times New Roman" w:cs="Times New Roman"/>
                <w:rFonts w:ascii="Times New Roman" w:hAnsi="Times New Roman"/>
                <w:b w:val="0"/>
                <w:i w:val="0"/>
                <w:sz w:val="22"/>
              </w:rPr>
              <w:t>+0.0467</w:t>
            </w:r>
          </w:p>
        </w:tc>
        <w:tc>
          <w:tcPr>
            <w:tcW w:type="dxa" w:w="1134"/>
            <w:vAlign w:val="center"/>
          </w:tcPr>
          <w:p>
            <w:pPr>
              <w:jc w:val="center"/>
            </w:pPr>
            <w:r>
              <w:rPr>
                <w:rFonts w:ascii="Times New Roman" w:hAnsi="Times New Roman" w:cs="Times New Roman"/>
                <w:rFonts w:ascii="Times New Roman" w:hAnsi="Times New Roman"/>
                <w:b w:val="0"/>
                <w:i w:val="0"/>
                <w:sz w:val="22"/>
              </w:rPr>
              <w:t>0.9429</w:t>
            </w:r>
          </w:p>
        </w:tc>
        <w:tc>
          <w:tcPr>
            <w:tcW w:type="dxa" w:w="1134"/>
            <w:vAlign w:val="center"/>
          </w:tcPr>
          <w:p>
            <w:pPr>
              <w:jc w:val="center"/>
            </w:pPr>
            <w:r>
              <w:rPr>
                <w:rFonts w:ascii="Times New Roman" w:hAnsi="Times New Roman" w:cs="Times New Roman"/>
                <w:rFonts w:ascii="Times New Roman" w:hAnsi="Times New Roman"/>
                <w:b w:val="0"/>
                <w:i w:val="0"/>
                <w:sz w:val="22"/>
              </w:rPr>
              <w:t>43.62</w:t>
            </w:r>
          </w:p>
        </w:tc>
        <w:tc>
          <w:tcPr>
            <w:tcW w:type="dxa" w:w="1134"/>
            <w:vAlign w:val="center"/>
          </w:tcPr>
          <w:p>
            <w:pPr>
              <w:jc w:val="center"/>
            </w:pPr>
            <w:r>
              <w:rPr>
                <w:rFonts w:ascii="Times New Roman" w:hAnsi="Times New Roman" w:cs="Times New Roman"/>
                <w:rFonts w:ascii="Times New Roman" w:hAnsi="Times New Roman"/>
                <w:b w:val="0"/>
                <w:i w:val="0"/>
                <w:sz w:val="22"/>
              </w:rPr>
              <w:t>35 / 40</w:t>
            </w:r>
          </w:p>
        </w:tc>
        <w:tc>
          <w:tcPr>
            <w:tcW w:type="dxa" w:w="1134"/>
            <w:vAlign w:val="center"/>
          </w:tcPr>
          <w:p>
            <w:pPr>
              <w:jc w:val="center"/>
            </w:pPr>
            <w:r>
              <w:rPr>
                <w:rFonts w:ascii="Times New Roman" w:hAnsi="Times New Roman" w:cs="Times New Roman"/>
                <w:rFonts w:ascii="Times New Roman" w:hAnsi="Times New Roman"/>
                <w:b w:val="0"/>
                <w:i w:val="0"/>
                <w:sz w:val="22"/>
              </w:rPr>
              <w:t>4 / 40</w:t>
            </w:r>
          </w:p>
        </w:tc>
        <w:tc>
          <w:tcPr>
            <w:tcW w:type="dxa" w:w="1134"/>
            <w:vAlign w:val="center"/>
          </w:tcPr>
          <w:p>
            <w:pPr>
              <w:jc w:val="center"/>
            </w:pPr>
            <w:r>
              <w:rPr>
                <w:rFonts w:ascii="Times New Roman" w:hAnsi="Times New Roman" w:cs="Times New Roman"/>
                <w:rFonts w:ascii="Times New Roman" w:hAnsi="Times New Roman"/>
                <w:b w:val="0"/>
                <w:i w:val="0"/>
                <w:sz w:val="22"/>
              </w:rPr>
              <w:t>5 / 40</w:t>
            </w:r>
          </w:p>
        </w:tc>
      </w:tr>
      <w:tr>
        <w:tc>
          <w:tcPr>
            <w:tcW w:type="dxa" w:w="1134"/>
            <w:vAlign w:val="center"/>
          </w:tcPr>
          <w:p>
            <w:pPr>
              <w:jc w:val="center"/>
            </w:pPr>
            <w:r>
              <w:rPr>
                <w:rFonts w:ascii="Times New Roman" w:hAnsi="Times New Roman" w:cs="Times New Roman"/>
                <w:rFonts w:ascii="Times New Roman" w:hAnsi="Times New Roman"/>
                <w:b w:val="0"/>
                <w:i w:val="0"/>
                <w:sz w:val="22"/>
              </w:rPr>
              <w:t>4PNE</w:t>
            </w:r>
          </w:p>
        </w:tc>
        <w:tc>
          <w:tcPr>
            <w:tcW w:type="dxa" w:w="1134"/>
            <w:vAlign w:val="center"/>
          </w:tcPr>
          <w:p>
            <w:pPr>
              <w:jc w:val="center"/>
            </w:pPr>
            <w:r>
              <w:rPr>
                <w:rFonts w:ascii="Times New Roman" w:hAnsi="Times New Roman" w:cs="Times New Roman"/>
                <w:rFonts w:ascii="Times New Roman" w:hAnsi="Times New Roman"/>
                <w:b w:val="0"/>
                <w:i w:val="0"/>
                <w:sz w:val="22"/>
              </w:rPr>
              <w:t>40 / 40</w:t>
              <w:br/>
              <w:t>(100%)</w:t>
            </w:r>
          </w:p>
        </w:tc>
        <w:tc>
          <w:tcPr>
            <w:tcW w:type="dxa" w:w="1134"/>
            <w:vAlign w:val="center"/>
          </w:tcPr>
          <w:p>
            <w:pPr>
              <w:jc w:val="center"/>
            </w:pPr>
            <w:r>
              <w:rPr>
                <w:rFonts w:ascii="Times New Roman" w:hAnsi="Times New Roman" w:cs="Times New Roman"/>
                <w:rFonts w:ascii="Times New Roman" w:hAnsi="Times New Roman"/>
                <w:b w:val="0"/>
                <w:i w:val="0"/>
                <w:sz w:val="22"/>
              </w:rPr>
              <w:t>+0.0467</w:t>
            </w:r>
          </w:p>
        </w:tc>
        <w:tc>
          <w:tcPr>
            <w:tcW w:type="dxa" w:w="1134"/>
            <w:vAlign w:val="center"/>
          </w:tcPr>
          <w:p>
            <w:pPr>
              <w:jc w:val="center"/>
            </w:pPr>
            <w:r>
              <w:rPr>
                <w:rFonts w:ascii="Times New Roman" w:hAnsi="Times New Roman" w:cs="Times New Roman"/>
                <w:rFonts w:ascii="Times New Roman" w:hAnsi="Times New Roman"/>
                <w:b w:val="0"/>
                <w:i w:val="0"/>
                <w:sz w:val="22"/>
              </w:rPr>
              <w:t>0.9434</w:t>
            </w:r>
          </w:p>
        </w:tc>
        <w:tc>
          <w:tcPr>
            <w:tcW w:type="dxa" w:w="1134"/>
            <w:vAlign w:val="center"/>
          </w:tcPr>
          <w:p>
            <w:pPr>
              <w:jc w:val="center"/>
            </w:pPr>
            <w:r>
              <w:rPr>
                <w:rFonts w:ascii="Times New Roman" w:hAnsi="Times New Roman" w:cs="Times New Roman"/>
                <w:rFonts w:ascii="Times New Roman" w:hAnsi="Times New Roman"/>
                <w:b w:val="0"/>
                <w:i w:val="0"/>
                <w:sz w:val="22"/>
              </w:rPr>
              <w:t>43.80</w:t>
            </w:r>
          </w:p>
        </w:tc>
        <w:tc>
          <w:tcPr>
            <w:tcW w:type="dxa" w:w="1134"/>
            <w:vAlign w:val="center"/>
          </w:tcPr>
          <w:p>
            <w:pPr>
              <w:jc w:val="center"/>
            </w:pPr>
            <w:r>
              <w:rPr>
                <w:rFonts w:ascii="Times New Roman" w:hAnsi="Times New Roman" w:cs="Times New Roman"/>
                <w:rFonts w:ascii="Times New Roman" w:hAnsi="Times New Roman"/>
                <w:b w:val="0"/>
                <w:i w:val="0"/>
                <w:sz w:val="22"/>
              </w:rPr>
              <w:t>33 / 40</w:t>
            </w:r>
          </w:p>
        </w:tc>
        <w:tc>
          <w:tcPr>
            <w:tcW w:type="dxa" w:w="1134"/>
            <w:vAlign w:val="center"/>
          </w:tcPr>
          <w:p>
            <w:pPr>
              <w:jc w:val="center"/>
            </w:pPr>
            <w:r>
              <w:rPr>
                <w:rFonts w:ascii="Times New Roman" w:hAnsi="Times New Roman" w:cs="Times New Roman"/>
                <w:rFonts w:ascii="Times New Roman" w:hAnsi="Times New Roman"/>
                <w:b w:val="0"/>
                <w:i w:val="0"/>
                <w:sz w:val="22"/>
              </w:rPr>
              <w:t>6 / 40</w:t>
            </w:r>
          </w:p>
        </w:tc>
        <w:tc>
          <w:tcPr>
            <w:tcW w:type="dxa" w:w="1134"/>
            <w:vAlign w:val="center"/>
          </w:tcPr>
          <w:p>
            <w:pPr>
              <w:jc w:val="center"/>
            </w:pPr>
            <w:r>
              <w:rPr>
                <w:rFonts w:ascii="Times New Roman" w:hAnsi="Times New Roman" w:cs="Times New Roman"/>
                <w:rFonts w:ascii="Times New Roman" w:hAnsi="Times New Roman"/>
                <w:b w:val="0"/>
                <w:i w:val="0"/>
                <w:sz w:val="22"/>
              </w:rPr>
              <w:t>7 / 40</w:t>
            </w:r>
          </w:p>
        </w:tc>
      </w:tr>
    </w:tbl>
    <w:p/>
    <w:p>
      <w:pPr>
        <w:spacing w:before="0" w:after="120" w:line="240" w:lineRule="exact"/>
        <w:ind w:firstLine="425"/>
        <w:jc w:val="both"/>
      </w:pPr>
      <w:r>
        <w:rPr>
          <w:rFonts w:ascii="Times New Roman" w:hAnsi="Times New Roman" w:cs="Times New Roman"/>
          <w:rFonts w:ascii="Times New Roman" w:hAnsi="Times New Roman"/>
          <w:b w:val="0"/>
          <w:i w:val="0"/>
          <w:sz w:val="24"/>
        </w:rPr>
        <w:t>All three methods enhanced all 40 spectral bands (SNR gain &gt; 0 in 100% of bands). TPNE outperforms NPNE on raw SNR gain in 35 of 40 bands, and 4PNE does so in 33 of 40 bands. This demonstrates that multi-directional noise estimation consistently captures noise structure more accurately across nearly the full spectral range.</w:t>
      </w:r>
    </w:p>
    <w:p>
      <w:pPr>
        <w:spacing w:before="0" w:after="120" w:line="240" w:lineRule="exact"/>
        <w:ind w:firstLine="425"/>
        <w:jc w:val="both"/>
      </w:pPr>
      <w:r>
        <w:rPr>
          <w:rFonts w:ascii="Times New Roman" w:hAnsi="Times New Roman" w:cs="Times New Roman"/>
          <w:rFonts w:ascii="Times New Roman" w:hAnsi="Times New Roman"/>
          <w:b w:val="0"/>
          <w:i w:val="0"/>
          <w:sz w:val="24"/>
        </w:rPr>
        <w:t>NPNE achieves marginally higher mean SSIM (0.9438 vs 0.9429 for TPNE, 0.9434 for 4PNE) and higher mean PSNR (43.98 dB vs 43.62 dB and 43.80 dB). This reflects a known trade-off inherent to multi-directional noise estimation: by building a more accurate model of the noise covariance, TPNE and 4PNE separate noise from signal more aggressively, which increases SNR at the expense of a small increase in per-pixel deviation from the original noisy image. In the context of remote sensing denoising, the SNR gain metric is the primary figure of merit, since the goal is to suppress sensor noise rather than to reconstruct the original noisy measurement.</w:t>
      </w:r>
    </w:p>
    <w:p>
      <w:pPr>
        <w:spacing w:before="0" w:after="120" w:line="240" w:lineRule="exact"/>
        <w:ind w:firstLine="425"/>
        <w:jc w:val="both"/>
      </w:pPr>
      <w:r>
        <w:rPr>
          <w:rFonts w:ascii="Times New Roman" w:hAnsi="Times New Roman" w:cs="Times New Roman"/>
          <w:rFonts w:ascii="Times New Roman" w:hAnsi="Times New Roman"/>
          <w:b w:val="0"/>
          <w:i w:val="0"/>
          <w:sz w:val="24"/>
        </w:rPr>
        <w:t>Table 4 provides a detailed view of selected representative spectral bands, illustrating the band-by-band SNR gain for each method. Bands 30 and 33 — identified in the noise variance analysis as characteristic bands — are highlighted.</w:t>
      </w:r>
    </w:p>
    <w:p>
      <w:pPr>
        <w:spacing w:before="160" w:after="40" w:line="240" w:lineRule="exact"/>
        <w:jc w:val="center"/>
      </w:pPr>
      <w:r>
        <w:rPr>
          <w:rFonts w:ascii="Times New Roman" w:hAnsi="Times New Roman" w:cs="Times New Roman"/>
          <w:rFonts w:ascii="Times New Roman" w:hAnsi="Times New Roman"/>
          <w:b w:val="0"/>
          <w:i/>
          <w:sz w:val="22"/>
        </w:rPr>
        <w:t>Table 4: Per-band SNR gain, SSIM, and PSNR for selected bands (reflectance dataset).</w:t>
      </w:r>
    </w:p>
    <w:tbl>
      <w:tblPr>
        <w:tblStyle w:val="TableGrid"/>
        <w:tblW w:type="auto" w:w="0"/>
        <w:jc w:val="center"/>
        <w:tblLook w:firstColumn="1" w:firstRow="1" w:lastColumn="0" w:lastRow="0" w:noHBand="0" w:noVBand="1" w:val="04A0"/>
      </w:tblPr>
      <w:tblGrid>
        <w:gridCol w:w="907"/>
        <w:gridCol w:w="907"/>
        <w:gridCol w:w="907"/>
        <w:gridCol w:w="907"/>
        <w:gridCol w:w="907"/>
        <w:gridCol w:w="907"/>
        <w:gridCol w:w="907"/>
        <w:gridCol w:w="907"/>
        <w:gridCol w:w="907"/>
        <w:gridCol w:w="907"/>
      </w:tblGrid>
      <w:tr>
        <w:tc>
          <w:tcPr>
            <w:tcW w:type="dxa" w:w="907"/>
            <w:vAlign w:val="center"/>
            <w:shd w:val="clear" w:color="auto" w:fill="D9D9D9"/>
          </w:tcPr>
          <w:p>
            <w:pPr>
              <w:jc w:val="center"/>
            </w:pPr>
            <w:r>
              <w:rPr>
                <w:rFonts w:ascii="Times New Roman" w:hAnsi="Times New Roman" w:cs="Times New Roman"/>
                <w:rFonts w:ascii="Times New Roman" w:hAnsi="Times New Roman"/>
                <w:b/>
                <w:i w:val="0"/>
                <w:sz w:val="22"/>
              </w:rPr>
              <w:t>Band</w:t>
            </w:r>
          </w:p>
        </w:tc>
        <w:tc>
          <w:tcPr>
            <w:tcW w:type="dxa" w:w="907"/>
            <w:vAlign w:val="center"/>
            <w:shd w:val="clear" w:color="auto" w:fill="D9D9D9"/>
          </w:tcPr>
          <w:p>
            <w:pPr>
              <w:jc w:val="center"/>
            </w:pPr>
            <w:r>
              <w:rPr>
                <w:rFonts w:ascii="Times New Roman" w:hAnsi="Times New Roman" w:cs="Times New Roman"/>
                <w:rFonts w:ascii="Times New Roman" w:hAnsi="Times New Roman"/>
                <w:b/>
                <w:i w:val="0"/>
                <w:sz w:val="22"/>
              </w:rPr>
              <w:t>NPNE SNR Gain</w:t>
            </w:r>
          </w:p>
        </w:tc>
        <w:tc>
          <w:tcPr>
            <w:tcW w:type="dxa" w:w="907"/>
            <w:vAlign w:val="center"/>
            <w:shd w:val="clear" w:color="auto" w:fill="D9D9D9"/>
          </w:tcPr>
          <w:p>
            <w:pPr>
              <w:jc w:val="center"/>
            </w:pPr>
            <w:r>
              <w:rPr>
                <w:rFonts w:ascii="Times New Roman" w:hAnsi="Times New Roman" w:cs="Times New Roman"/>
                <w:rFonts w:ascii="Times New Roman" w:hAnsi="Times New Roman"/>
                <w:b/>
                <w:i w:val="0"/>
                <w:sz w:val="22"/>
              </w:rPr>
              <w:t>TPNE SNR Gain</w:t>
            </w:r>
          </w:p>
        </w:tc>
        <w:tc>
          <w:tcPr>
            <w:tcW w:type="dxa" w:w="907"/>
            <w:vAlign w:val="center"/>
            <w:shd w:val="clear" w:color="auto" w:fill="D9D9D9"/>
          </w:tcPr>
          <w:p>
            <w:pPr>
              <w:jc w:val="center"/>
            </w:pPr>
            <w:r>
              <w:rPr>
                <w:rFonts w:ascii="Times New Roman" w:hAnsi="Times New Roman" w:cs="Times New Roman"/>
                <w:rFonts w:ascii="Times New Roman" w:hAnsi="Times New Roman"/>
                <w:b/>
                <w:i w:val="0"/>
                <w:sz w:val="22"/>
              </w:rPr>
              <w:t>4PNE SNR Gain</w:t>
            </w:r>
          </w:p>
        </w:tc>
        <w:tc>
          <w:tcPr>
            <w:tcW w:type="dxa" w:w="907"/>
            <w:vAlign w:val="center"/>
            <w:shd w:val="clear" w:color="auto" w:fill="D9D9D9"/>
          </w:tcPr>
          <w:p>
            <w:pPr>
              <w:jc w:val="center"/>
            </w:pPr>
            <w:r>
              <w:rPr>
                <w:rFonts w:ascii="Times New Roman" w:hAnsi="Times New Roman" w:cs="Times New Roman"/>
                <w:rFonts w:ascii="Times New Roman" w:hAnsi="Times New Roman"/>
                <w:b/>
                <w:i w:val="0"/>
                <w:sz w:val="22"/>
              </w:rPr>
              <w:t>NPNE SSIM</w:t>
            </w:r>
          </w:p>
        </w:tc>
        <w:tc>
          <w:tcPr>
            <w:tcW w:type="dxa" w:w="907"/>
            <w:vAlign w:val="center"/>
            <w:shd w:val="clear" w:color="auto" w:fill="D9D9D9"/>
          </w:tcPr>
          <w:p>
            <w:pPr>
              <w:jc w:val="center"/>
            </w:pPr>
            <w:r>
              <w:rPr>
                <w:rFonts w:ascii="Times New Roman" w:hAnsi="Times New Roman" w:cs="Times New Roman"/>
                <w:rFonts w:ascii="Times New Roman" w:hAnsi="Times New Roman"/>
                <w:b/>
                <w:i w:val="0"/>
                <w:sz w:val="22"/>
              </w:rPr>
              <w:t>TPNE SSIM</w:t>
            </w:r>
          </w:p>
        </w:tc>
        <w:tc>
          <w:tcPr>
            <w:tcW w:type="dxa" w:w="907"/>
            <w:vAlign w:val="center"/>
            <w:shd w:val="clear" w:color="auto" w:fill="D9D9D9"/>
          </w:tcPr>
          <w:p>
            <w:pPr>
              <w:jc w:val="center"/>
            </w:pPr>
            <w:r>
              <w:rPr>
                <w:rFonts w:ascii="Times New Roman" w:hAnsi="Times New Roman" w:cs="Times New Roman"/>
                <w:rFonts w:ascii="Times New Roman" w:hAnsi="Times New Roman"/>
                <w:b/>
                <w:i w:val="0"/>
                <w:sz w:val="22"/>
              </w:rPr>
              <w:t>4PNE SSIM</w:t>
            </w:r>
          </w:p>
        </w:tc>
        <w:tc>
          <w:tcPr>
            <w:tcW w:type="dxa" w:w="907"/>
            <w:vAlign w:val="center"/>
            <w:shd w:val="clear" w:color="auto" w:fill="D9D9D9"/>
          </w:tcPr>
          <w:p>
            <w:pPr>
              <w:jc w:val="center"/>
            </w:pPr>
            <w:r>
              <w:rPr>
                <w:rFonts w:ascii="Times New Roman" w:hAnsi="Times New Roman" w:cs="Times New Roman"/>
                <w:rFonts w:ascii="Times New Roman" w:hAnsi="Times New Roman"/>
                <w:b/>
                <w:i w:val="0"/>
                <w:sz w:val="22"/>
              </w:rPr>
              <w:t>NPNE PSNR (dB)</w:t>
            </w:r>
          </w:p>
        </w:tc>
        <w:tc>
          <w:tcPr>
            <w:tcW w:type="dxa" w:w="907"/>
            <w:vAlign w:val="center"/>
            <w:shd w:val="clear" w:color="auto" w:fill="D9D9D9"/>
          </w:tcPr>
          <w:p>
            <w:pPr>
              <w:jc w:val="center"/>
            </w:pPr>
            <w:r>
              <w:rPr>
                <w:rFonts w:ascii="Times New Roman" w:hAnsi="Times New Roman" w:cs="Times New Roman"/>
                <w:rFonts w:ascii="Times New Roman" w:hAnsi="Times New Roman"/>
                <w:b/>
                <w:i w:val="0"/>
                <w:sz w:val="22"/>
              </w:rPr>
              <w:t>TPNE PSNR (dB)</w:t>
            </w:r>
          </w:p>
        </w:tc>
        <w:tc>
          <w:tcPr>
            <w:tcW w:type="dxa" w:w="907"/>
            <w:vAlign w:val="center"/>
            <w:shd w:val="clear" w:color="auto" w:fill="D9D9D9"/>
          </w:tcPr>
          <w:p>
            <w:pPr>
              <w:jc w:val="center"/>
            </w:pPr>
            <w:r>
              <w:rPr>
                <w:rFonts w:ascii="Times New Roman" w:hAnsi="Times New Roman" w:cs="Times New Roman"/>
                <w:rFonts w:ascii="Times New Roman" w:hAnsi="Times New Roman"/>
                <w:b/>
                <w:i w:val="0"/>
                <w:sz w:val="22"/>
              </w:rPr>
              <w:t>4PNE PSNR (dB)</w:t>
            </w:r>
          </w:p>
        </w:tc>
      </w:tr>
      <w:tr>
        <w:tc>
          <w:tcPr>
            <w:tcW w:type="dxa" w:w="907"/>
            <w:vAlign w:val="center"/>
          </w:tcPr>
          <w:p>
            <w:pPr>
              <w:jc w:val="center"/>
            </w:pPr>
            <w:r>
              <w:rPr>
                <w:rFonts w:ascii="Times New Roman" w:hAnsi="Times New Roman" w:cs="Times New Roman"/>
                <w:rFonts w:ascii="Times New Roman" w:hAnsi="Times New Roman"/>
                <w:b w:val="0"/>
                <w:i w:val="0"/>
                <w:sz w:val="22"/>
              </w:rPr>
              <w:t>5</w:t>
            </w:r>
          </w:p>
        </w:tc>
        <w:tc>
          <w:tcPr>
            <w:tcW w:type="dxa" w:w="907"/>
            <w:vAlign w:val="center"/>
          </w:tcPr>
          <w:p>
            <w:pPr>
              <w:jc w:val="center"/>
            </w:pPr>
            <w:r>
              <w:rPr>
                <w:rFonts w:ascii="Times New Roman" w:hAnsi="Times New Roman" w:cs="Times New Roman"/>
                <w:rFonts w:ascii="Times New Roman" w:hAnsi="Times New Roman"/>
                <w:b w:val="0"/>
                <w:i w:val="0"/>
                <w:sz w:val="22"/>
              </w:rPr>
              <w:t>+0.0014</w:t>
            </w:r>
          </w:p>
        </w:tc>
        <w:tc>
          <w:tcPr>
            <w:tcW w:type="dxa" w:w="907"/>
            <w:vAlign w:val="center"/>
          </w:tcPr>
          <w:p>
            <w:pPr>
              <w:jc w:val="center"/>
            </w:pPr>
            <w:r>
              <w:rPr>
                <w:rFonts w:ascii="Times New Roman" w:hAnsi="Times New Roman" w:cs="Times New Roman"/>
                <w:rFonts w:ascii="Times New Roman" w:hAnsi="Times New Roman"/>
                <w:b w:val="0"/>
                <w:i w:val="0"/>
                <w:sz w:val="22"/>
              </w:rPr>
              <w:t>+0.0015</w:t>
            </w:r>
          </w:p>
        </w:tc>
        <w:tc>
          <w:tcPr>
            <w:tcW w:type="dxa" w:w="907"/>
            <w:vAlign w:val="center"/>
          </w:tcPr>
          <w:p>
            <w:pPr>
              <w:jc w:val="center"/>
            </w:pPr>
            <w:r>
              <w:rPr>
                <w:rFonts w:ascii="Times New Roman" w:hAnsi="Times New Roman" w:cs="Times New Roman"/>
                <w:rFonts w:ascii="Times New Roman" w:hAnsi="Times New Roman"/>
                <w:b w:val="0"/>
                <w:i w:val="0"/>
                <w:sz w:val="22"/>
              </w:rPr>
              <w:t>+0.0014</w:t>
            </w:r>
          </w:p>
        </w:tc>
        <w:tc>
          <w:tcPr>
            <w:tcW w:type="dxa" w:w="907"/>
            <w:vAlign w:val="center"/>
          </w:tcPr>
          <w:p>
            <w:pPr>
              <w:jc w:val="center"/>
            </w:pPr>
            <w:r>
              <w:rPr>
                <w:rFonts w:ascii="Times New Roman" w:hAnsi="Times New Roman" w:cs="Times New Roman"/>
                <w:rFonts w:ascii="Times New Roman" w:hAnsi="Times New Roman"/>
                <w:b w:val="0"/>
                <w:i w:val="0"/>
                <w:sz w:val="22"/>
              </w:rPr>
              <w:t>0.9802</w:t>
            </w:r>
          </w:p>
        </w:tc>
        <w:tc>
          <w:tcPr>
            <w:tcW w:type="dxa" w:w="907"/>
            <w:vAlign w:val="center"/>
          </w:tcPr>
          <w:p>
            <w:pPr>
              <w:jc w:val="center"/>
            </w:pPr>
            <w:r>
              <w:rPr>
                <w:rFonts w:ascii="Times New Roman" w:hAnsi="Times New Roman" w:cs="Times New Roman"/>
                <w:rFonts w:ascii="Times New Roman" w:hAnsi="Times New Roman"/>
                <w:b w:val="0"/>
                <w:i w:val="0"/>
                <w:sz w:val="22"/>
              </w:rPr>
              <w:t>0.9791</w:t>
            </w:r>
          </w:p>
        </w:tc>
        <w:tc>
          <w:tcPr>
            <w:tcW w:type="dxa" w:w="907"/>
            <w:vAlign w:val="center"/>
          </w:tcPr>
          <w:p>
            <w:pPr>
              <w:jc w:val="center"/>
            </w:pPr>
            <w:r>
              <w:rPr>
                <w:rFonts w:ascii="Times New Roman" w:hAnsi="Times New Roman" w:cs="Times New Roman"/>
                <w:rFonts w:ascii="Times New Roman" w:hAnsi="Times New Roman"/>
                <w:b w:val="0"/>
                <w:i w:val="0"/>
                <w:sz w:val="22"/>
              </w:rPr>
              <w:t>0.9796</w:t>
            </w:r>
          </w:p>
        </w:tc>
        <w:tc>
          <w:tcPr>
            <w:tcW w:type="dxa" w:w="907"/>
            <w:vAlign w:val="center"/>
          </w:tcPr>
          <w:p>
            <w:pPr>
              <w:jc w:val="center"/>
            </w:pPr>
            <w:r>
              <w:rPr>
                <w:rFonts w:ascii="Times New Roman" w:hAnsi="Times New Roman" w:cs="Times New Roman"/>
                <w:rFonts w:ascii="Times New Roman" w:hAnsi="Times New Roman"/>
                <w:b w:val="0"/>
                <w:i w:val="0"/>
                <w:sz w:val="22"/>
              </w:rPr>
              <w:t>45.63</w:t>
            </w:r>
          </w:p>
        </w:tc>
        <w:tc>
          <w:tcPr>
            <w:tcW w:type="dxa" w:w="907"/>
            <w:vAlign w:val="center"/>
          </w:tcPr>
          <w:p>
            <w:pPr>
              <w:jc w:val="center"/>
            </w:pPr>
            <w:r>
              <w:rPr>
                <w:rFonts w:ascii="Times New Roman" w:hAnsi="Times New Roman" w:cs="Times New Roman"/>
                <w:rFonts w:ascii="Times New Roman" w:hAnsi="Times New Roman"/>
                <w:b w:val="0"/>
                <w:i w:val="0"/>
                <w:sz w:val="22"/>
              </w:rPr>
              <w:t>45.38</w:t>
            </w:r>
          </w:p>
        </w:tc>
        <w:tc>
          <w:tcPr>
            <w:tcW w:type="dxa" w:w="907"/>
            <w:vAlign w:val="center"/>
          </w:tcPr>
          <w:p>
            <w:pPr>
              <w:jc w:val="center"/>
            </w:pPr>
            <w:r>
              <w:rPr>
                <w:rFonts w:ascii="Times New Roman" w:hAnsi="Times New Roman" w:cs="Times New Roman"/>
                <w:rFonts w:ascii="Times New Roman" w:hAnsi="Times New Roman"/>
                <w:b w:val="0"/>
                <w:i w:val="0"/>
                <w:sz w:val="22"/>
              </w:rPr>
              <w:t>45.51</w:t>
            </w:r>
          </w:p>
        </w:tc>
      </w:tr>
      <w:tr>
        <w:tc>
          <w:tcPr>
            <w:tcW w:type="dxa" w:w="907"/>
            <w:vAlign w:val="center"/>
          </w:tcPr>
          <w:p>
            <w:pPr>
              <w:jc w:val="center"/>
            </w:pPr>
            <w:r>
              <w:rPr>
                <w:rFonts w:ascii="Times New Roman" w:hAnsi="Times New Roman" w:cs="Times New Roman"/>
                <w:rFonts w:ascii="Times New Roman" w:hAnsi="Times New Roman"/>
                <w:b w:val="0"/>
                <w:i w:val="0"/>
                <w:sz w:val="22"/>
              </w:rPr>
              <w:t>10</w:t>
            </w:r>
          </w:p>
        </w:tc>
        <w:tc>
          <w:tcPr>
            <w:tcW w:type="dxa" w:w="907"/>
            <w:vAlign w:val="center"/>
          </w:tcPr>
          <w:p>
            <w:pPr>
              <w:jc w:val="center"/>
            </w:pPr>
            <w:r>
              <w:rPr>
                <w:rFonts w:ascii="Times New Roman" w:hAnsi="Times New Roman" w:cs="Times New Roman"/>
                <w:rFonts w:ascii="Times New Roman" w:hAnsi="Times New Roman"/>
                <w:b w:val="0"/>
                <w:i w:val="0"/>
                <w:sz w:val="22"/>
              </w:rPr>
              <w:t>+0.0006</w:t>
            </w:r>
          </w:p>
        </w:tc>
        <w:tc>
          <w:tcPr>
            <w:tcW w:type="dxa" w:w="907"/>
            <w:vAlign w:val="center"/>
          </w:tcPr>
          <w:p>
            <w:pPr>
              <w:jc w:val="center"/>
            </w:pPr>
            <w:r>
              <w:rPr>
                <w:rFonts w:ascii="Times New Roman" w:hAnsi="Times New Roman" w:cs="Times New Roman"/>
                <w:rFonts w:ascii="Times New Roman" w:hAnsi="Times New Roman"/>
                <w:b w:val="0"/>
                <w:i w:val="0"/>
                <w:sz w:val="22"/>
              </w:rPr>
              <w:t>+0.0006</w:t>
            </w:r>
          </w:p>
        </w:tc>
        <w:tc>
          <w:tcPr>
            <w:tcW w:type="dxa" w:w="907"/>
            <w:vAlign w:val="center"/>
          </w:tcPr>
          <w:p>
            <w:pPr>
              <w:jc w:val="center"/>
            </w:pPr>
            <w:r>
              <w:rPr>
                <w:rFonts w:ascii="Times New Roman" w:hAnsi="Times New Roman" w:cs="Times New Roman"/>
                <w:rFonts w:ascii="Times New Roman" w:hAnsi="Times New Roman"/>
                <w:b w:val="0"/>
                <w:i w:val="0"/>
                <w:sz w:val="22"/>
              </w:rPr>
              <w:t>+0.0006</w:t>
            </w:r>
          </w:p>
        </w:tc>
        <w:tc>
          <w:tcPr>
            <w:tcW w:type="dxa" w:w="907"/>
            <w:vAlign w:val="center"/>
          </w:tcPr>
          <w:p>
            <w:pPr>
              <w:jc w:val="center"/>
            </w:pPr>
            <w:r>
              <w:rPr>
                <w:rFonts w:ascii="Times New Roman" w:hAnsi="Times New Roman" w:cs="Times New Roman"/>
                <w:rFonts w:ascii="Times New Roman" w:hAnsi="Times New Roman"/>
                <w:b w:val="0"/>
                <w:i w:val="0"/>
                <w:sz w:val="22"/>
              </w:rPr>
              <w:t>0.9934</w:t>
            </w:r>
          </w:p>
        </w:tc>
        <w:tc>
          <w:tcPr>
            <w:tcW w:type="dxa" w:w="907"/>
            <w:vAlign w:val="center"/>
          </w:tcPr>
          <w:p>
            <w:pPr>
              <w:jc w:val="center"/>
            </w:pPr>
            <w:r>
              <w:rPr>
                <w:rFonts w:ascii="Times New Roman" w:hAnsi="Times New Roman" w:cs="Times New Roman"/>
                <w:rFonts w:ascii="Times New Roman" w:hAnsi="Times New Roman"/>
                <w:b w:val="0"/>
                <w:i w:val="0"/>
                <w:sz w:val="22"/>
              </w:rPr>
              <w:t>0.9927</w:t>
            </w:r>
          </w:p>
        </w:tc>
        <w:tc>
          <w:tcPr>
            <w:tcW w:type="dxa" w:w="907"/>
            <w:vAlign w:val="center"/>
          </w:tcPr>
          <w:p>
            <w:pPr>
              <w:jc w:val="center"/>
            </w:pPr>
            <w:r>
              <w:rPr>
                <w:rFonts w:ascii="Times New Roman" w:hAnsi="Times New Roman" w:cs="Times New Roman"/>
                <w:rFonts w:ascii="Times New Roman" w:hAnsi="Times New Roman"/>
                <w:b w:val="0"/>
                <w:i w:val="0"/>
                <w:sz w:val="22"/>
              </w:rPr>
              <w:t>0.9931</w:t>
            </w:r>
          </w:p>
        </w:tc>
        <w:tc>
          <w:tcPr>
            <w:tcW w:type="dxa" w:w="907"/>
            <w:vAlign w:val="center"/>
          </w:tcPr>
          <w:p>
            <w:pPr>
              <w:jc w:val="center"/>
            </w:pPr>
            <w:r>
              <w:rPr>
                <w:rFonts w:ascii="Times New Roman" w:hAnsi="Times New Roman" w:cs="Times New Roman"/>
                <w:rFonts w:ascii="Times New Roman" w:hAnsi="Times New Roman"/>
                <w:b w:val="0"/>
                <w:i w:val="0"/>
                <w:sz w:val="22"/>
              </w:rPr>
              <w:t>50.72</w:t>
            </w:r>
          </w:p>
        </w:tc>
        <w:tc>
          <w:tcPr>
            <w:tcW w:type="dxa" w:w="907"/>
            <w:vAlign w:val="center"/>
          </w:tcPr>
          <w:p>
            <w:pPr>
              <w:jc w:val="center"/>
            </w:pPr>
            <w:r>
              <w:rPr>
                <w:rFonts w:ascii="Times New Roman" w:hAnsi="Times New Roman" w:cs="Times New Roman"/>
                <w:rFonts w:ascii="Times New Roman" w:hAnsi="Times New Roman"/>
                <w:b w:val="0"/>
                <w:i w:val="0"/>
                <w:sz w:val="22"/>
              </w:rPr>
              <w:t>50.18</w:t>
            </w:r>
          </w:p>
        </w:tc>
        <w:tc>
          <w:tcPr>
            <w:tcW w:type="dxa" w:w="907"/>
            <w:vAlign w:val="center"/>
          </w:tcPr>
          <w:p>
            <w:pPr>
              <w:jc w:val="center"/>
            </w:pPr>
            <w:r>
              <w:rPr>
                <w:rFonts w:ascii="Times New Roman" w:hAnsi="Times New Roman" w:cs="Times New Roman"/>
                <w:rFonts w:ascii="Times New Roman" w:hAnsi="Times New Roman"/>
                <w:b w:val="0"/>
                <w:i w:val="0"/>
                <w:sz w:val="22"/>
              </w:rPr>
              <w:t>50.45</w:t>
            </w:r>
          </w:p>
        </w:tc>
      </w:tr>
      <w:tr>
        <w:tc>
          <w:tcPr>
            <w:tcW w:type="dxa" w:w="907"/>
            <w:vAlign w:val="center"/>
          </w:tcPr>
          <w:p>
            <w:pPr>
              <w:jc w:val="center"/>
            </w:pPr>
            <w:r>
              <w:rPr>
                <w:rFonts w:ascii="Times New Roman" w:hAnsi="Times New Roman" w:cs="Times New Roman"/>
                <w:rFonts w:ascii="Times New Roman" w:hAnsi="Times New Roman"/>
                <w:b w:val="0"/>
                <w:i w:val="0"/>
                <w:sz w:val="22"/>
              </w:rPr>
              <w:t>24</w:t>
            </w:r>
          </w:p>
        </w:tc>
        <w:tc>
          <w:tcPr>
            <w:tcW w:type="dxa" w:w="907"/>
            <w:vAlign w:val="center"/>
          </w:tcPr>
          <w:p>
            <w:pPr>
              <w:jc w:val="center"/>
            </w:pPr>
            <w:r>
              <w:rPr>
                <w:rFonts w:ascii="Times New Roman" w:hAnsi="Times New Roman" w:cs="Times New Roman"/>
                <w:rFonts w:ascii="Times New Roman" w:hAnsi="Times New Roman"/>
                <w:b w:val="0"/>
                <w:i w:val="0"/>
                <w:sz w:val="22"/>
              </w:rPr>
              <w:t>+0.0231</w:t>
            </w:r>
          </w:p>
        </w:tc>
        <w:tc>
          <w:tcPr>
            <w:tcW w:type="dxa" w:w="907"/>
            <w:vAlign w:val="center"/>
          </w:tcPr>
          <w:p>
            <w:pPr>
              <w:jc w:val="center"/>
            </w:pPr>
            <w:r>
              <w:rPr>
                <w:rFonts w:ascii="Times New Roman" w:hAnsi="Times New Roman" w:cs="Times New Roman"/>
                <w:rFonts w:ascii="Times New Roman" w:hAnsi="Times New Roman"/>
                <w:b w:val="0"/>
                <w:i w:val="0"/>
                <w:sz w:val="22"/>
              </w:rPr>
              <w:t>+0.0230</w:t>
            </w:r>
          </w:p>
        </w:tc>
        <w:tc>
          <w:tcPr>
            <w:tcW w:type="dxa" w:w="907"/>
            <w:vAlign w:val="center"/>
          </w:tcPr>
          <w:p>
            <w:pPr>
              <w:jc w:val="center"/>
            </w:pPr>
            <w:r>
              <w:rPr>
                <w:rFonts w:ascii="Times New Roman" w:hAnsi="Times New Roman" w:cs="Times New Roman"/>
                <w:rFonts w:ascii="Times New Roman" w:hAnsi="Times New Roman"/>
                <w:b w:val="0"/>
                <w:i w:val="0"/>
                <w:sz w:val="22"/>
              </w:rPr>
              <w:t>+0.0230</w:t>
            </w:r>
          </w:p>
        </w:tc>
        <w:tc>
          <w:tcPr>
            <w:tcW w:type="dxa" w:w="907"/>
            <w:vAlign w:val="center"/>
          </w:tcPr>
          <w:p>
            <w:pPr>
              <w:jc w:val="center"/>
            </w:pPr>
            <w:r>
              <w:rPr>
                <w:rFonts w:ascii="Times New Roman" w:hAnsi="Times New Roman" w:cs="Times New Roman"/>
                <w:rFonts w:ascii="Times New Roman" w:hAnsi="Times New Roman"/>
                <w:b w:val="0"/>
                <w:i w:val="0"/>
                <w:sz w:val="22"/>
              </w:rPr>
              <w:t>0.8300</w:t>
            </w:r>
          </w:p>
        </w:tc>
        <w:tc>
          <w:tcPr>
            <w:tcW w:type="dxa" w:w="907"/>
            <w:vAlign w:val="center"/>
          </w:tcPr>
          <w:p>
            <w:pPr>
              <w:jc w:val="center"/>
            </w:pPr>
            <w:r>
              <w:rPr>
                <w:rFonts w:ascii="Times New Roman" w:hAnsi="Times New Roman" w:cs="Times New Roman"/>
                <w:rFonts w:ascii="Times New Roman" w:hAnsi="Times New Roman"/>
                <w:b w:val="0"/>
                <w:i w:val="0"/>
                <w:sz w:val="22"/>
              </w:rPr>
              <w:t>0.8297</w:t>
            </w:r>
          </w:p>
        </w:tc>
        <w:tc>
          <w:tcPr>
            <w:tcW w:type="dxa" w:w="907"/>
            <w:vAlign w:val="center"/>
          </w:tcPr>
          <w:p>
            <w:pPr>
              <w:jc w:val="center"/>
            </w:pPr>
            <w:r>
              <w:rPr>
                <w:rFonts w:ascii="Times New Roman" w:hAnsi="Times New Roman" w:cs="Times New Roman"/>
                <w:rFonts w:ascii="Times New Roman" w:hAnsi="Times New Roman"/>
                <w:b w:val="0"/>
                <w:i w:val="0"/>
                <w:sz w:val="22"/>
              </w:rPr>
              <w:t>0.8300</w:t>
            </w:r>
          </w:p>
        </w:tc>
        <w:tc>
          <w:tcPr>
            <w:tcW w:type="dxa" w:w="907"/>
            <w:vAlign w:val="center"/>
          </w:tcPr>
          <w:p>
            <w:pPr>
              <w:jc w:val="center"/>
            </w:pPr>
            <w:r>
              <w:rPr>
                <w:rFonts w:ascii="Times New Roman" w:hAnsi="Times New Roman" w:cs="Times New Roman"/>
                <w:rFonts w:ascii="Times New Roman" w:hAnsi="Times New Roman"/>
                <w:b w:val="0"/>
                <w:i w:val="0"/>
                <w:sz w:val="22"/>
              </w:rPr>
              <w:t>26.59</w:t>
            </w:r>
          </w:p>
        </w:tc>
        <w:tc>
          <w:tcPr>
            <w:tcW w:type="dxa" w:w="907"/>
            <w:vAlign w:val="center"/>
          </w:tcPr>
          <w:p>
            <w:pPr>
              <w:jc w:val="center"/>
            </w:pPr>
            <w:r>
              <w:rPr>
                <w:rFonts w:ascii="Times New Roman" w:hAnsi="Times New Roman" w:cs="Times New Roman"/>
                <w:rFonts w:ascii="Times New Roman" w:hAnsi="Times New Roman"/>
                <w:b w:val="0"/>
                <w:i w:val="0"/>
                <w:sz w:val="22"/>
              </w:rPr>
              <w:t>26.62</w:t>
            </w:r>
          </w:p>
        </w:tc>
        <w:tc>
          <w:tcPr>
            <w:tcW w:type="dxa" w:w="907"/>
            <w:vAlign w:val="center"/>
          </w:tcPr>
          <w:p>
            <w:pPr>
              <w:jc w:val="center"/>
            </w:pPr>
            <w:r>
              <w:rPr>
                <w:rFonts w:ascii="Times New Roman" w:hAnsi="Times New Roman" w:cs="Times New Roman"/>
                <w:rFonts w:ascii="Times New Roman" w:hAnsi="Times New Roman"/>
                <w:b w:val="0"/>
                <w:i w:val="0"/>
                <w:sz w:val="22"/>
              </w:rPr>
              <w:t>26.61</w:t>
            </w:r>
          </w:p>
        </w:tc>
      </w:tr>
      <w:tr>
        <w:tc>
          <w:tcPr>
            <w:tcW w:type="dxa" w:w="907"/>
            <w:vAlign w:val="center"/>
          </w:tcPr>
          <w:p>
            <w:pPr>
              <w:jc w:val="center"/>
            </w:pPr>
            <w:r>
              <w:rPr>
                <w:rFonts w:ascii="Times New Roman" w:hAnsi="Times New Roman" w:cs="Times New Roman"/>
                <w:rFonts w:ascii="Times New Roman" w:hAnsi="Times New Roman"/>
                <w:b w:val="0"/>
                <w:i w:val="0"/>
                <w:sz w:val="22"/>
              </w:rPr>
              <w:t>25</w:t>
            </w:r>
          </w:p>
        </w:tc>
        <w:tc>
          <w:tcPr>
            <w:tcW w:type="dxa" w:w="907"/>
            <w:vAlign w:val="center"/>
          </w:tcPr>
          <w:p>
            <w:pPr>
              <w:jc w:val="center"/>
            </w:pPr>
            <w:r>
              <w:rPr>
                <w:rFonts w:ascii="Times New Roman" w:hAnsi="Times New Roman" w:cs="Times New Roman"/>
                <w:rFonts w:ascii="Times New Roman" w:hAnsi="Times New Roman"/>
                <w:b w:val="0"/>
                <w:i w:val="0"/>
                <w:sz w:val="22"/>
              </w:rPr>
              <w:t>+0.0299</w:t>
            </w:r>
          </w:p>
        </w:tc>
        <w:tc>
          <w:tcPr>
            <w:tcW w:type="dxa" w:w="907"/>
            <w:vAlign w:val="center"/>
          </w:tcPr>
          <w:p>
            <w:pPr>
              <w:jc w:val="center"/>
            </w:pPr>
            <w:r>
              <w:rPr>
                <w:rFonts w:ascii="Times New Roman" w:hAnsi="Times New Roman" w:cs="Times New Roman"/>
                <w:rFonts w:ascii="Times New Roman" w:hAnsi="Times New Roman"/>
                <w:b w:val="0"/>
                <w:i w:val="0"/>
                <w:sz w:val="22"/>
              </w:rPr>
              <w:t>+0.0300</w:t>
            </w:r>
          </w:p>
        </w:tc>
        <w:tc>
          <w:tcPr>
            <w:tcW w:type="dxa" w:w="907"/>
            <w:vAlign w:val="center"/>
          </w:tcPr>
          <w:p>
            <w:pPr>
              <w:jc w:val="center"/>
            </w:pPr>
            <w:r>
              <w:rPr>
                <w:rFonts w:ascii="Times New Roman" w:hAnsi="Times New Roman" w:cs="Times New Roman"/>
                <w:rFonts w:ascii="Times New Roman" w:hAnsi="Times New Roman"/>
                <w:b w:val="0"/>
                <w:i w:val="0"/>
                <w:sz w:val="22"/>
              </w:rPr>
              <w:t>+0.0300</w:t>
            </w:r>
          </w:p>
        </w:tc>
        <w:tc>
          <w:tcPr>
            <w:tcW w:type="dxa" w:w="907"/>
            <w:vAlign w:val="center"/>
          </w:tcPr>
          <w:p>
            <w:pPr>
              <w:jc w:val="center"/>
            </w:pPr>
            <w:r>
              <w:rPr>
                <w:rFonts w:ascii="Times New Roman" w:hAnsi="Times New Roman" w:cs="Times New Roman"/>
                <w:rFonts w:ascii="Times New Roman" w:hAnsi="Times New Roman"/>
                <w:b w:val="0"/>
                <w:i w:val="0"/>
                <w:sz w:val="22"/>
              </w:rPr>
              <w:t>0.7747</w:t>
            </w:r>
          </w:p>
        </w:tc>
        <w:tc>
          <w:tcPr>
            <w:tcW w:type="dxa" w:w="907"/>
            <w:vAlign w:val="center"/>
          </w:tcPr>
          <w:p>
            <w:pPr>
              <w:jc w:val="center"/>
            </w:pPr>
            <w:r>
              <w:rPr>
                <w:rFonts w:ascii="Times New Roman" w:hAnsi="Times New Roman" w:cs="Times New Roman"/>
                <w:rFonts w:ascii="Times New Roman" w:hAnsi="Times New Roman"/>
                <w:b w:val="0"/>
                <w:i w:val="0"/>
                <w:sz w:val="22"/>
              </w:rPr>
              <w:t>0.7726</w:t>
            </w:r>
          </w:p>
        </w:tc>
        <w:tc>
          <w:tcPr>
            <w:tcW w:type="dxa" w:w="907"/>
            <w:vAlign w:val="center"/>
          </w:tcPr>
          <w:p>
            <w:pPr>
              <w:jc w:val="center"/>
            </w:pPr>
            <w:r>
              <w:rPr>
                <w:rFonts w:ascii="Times New Roman" w:hAnsi="Times New Roman" w:cs="Times New Roman"/>
                <w:rFonts w:ascii="Times New Roman" w:hAnsi="Times New Roman"/>
                <w:b w:val="0"/>
                <w:i w:val="0"/>
                <w:sz w:val="22"/>
              </w:rPr>
              <w:t>0.7734</w:t>
            </w:r>
          </w:p>
        </w:tc>
        <w:tc>
          <w:tcPr>
            <w:tcW w:type="dxa" w:w="907"/>
            <w:vAlign w:val="center"/>
          </w:tcPr>
          <w:p>
            <w:pPr>
              <w:jc w:val="center"/>
            </w:pPr>
            <w:r>
              <w:rPr>
                <w:rFonts w:ascii="Times New Roman" w:hAnsi="Times New Roman" w:cs="Times New Roman"/>
                <w:rFonts w:ascii="Times New Roman" w:hAnsi="Times New Roman"/>
                <w:b w:val="0"/>
                <w:i w:val="0"/>
                <w:sz w:val="22"/>
              </w:rPr>
              <w:t>27.87</w:t>
            </w:r>
          </w:p>
        </w:tc>
        <w:tc>
          <w:tcPr>
            <w:tcW w:type="dxa" w:w="907"/>
            <w:vAlign w:val="center"/>
          </w:tcPr>
          <w:p>
            <w:pPr>
              <w:jc w:val="center"/>
            </w:pPr>
            <w:r>
              <w:rPr>
                <w:rFonts w:ascii="Times New Roman" w:hAnsi="Times New Roman" w:cs="Times New Roman"/>
                <w:rFonts w:ascii="Times New Roman" w:hAnsi="Times New Roman"/>
                <w:b w:val="0"/>
                <w:i w:val="0"/>
                <w:sz w:val="22"/>
              </w:rPr>
              <w:t>27.87</w:t>
            </w:r>
          </w:p>
        </w:tc>
        <w:tc>
          <w:tcPr>
            <w:tcW w:type="dxa" w:w="907"/>
            <w:vAlign w:val="center"/>
          </w:tcPr>
          <w:p>
            <w:pPr>
              <w:jc w:val="center"/>
            </w:pPr>
            <w:r>
              <w:rPr>
                <w:rFonts w:ascii="Times New Roman" w:hAnsi="Times New Roman" w:cs="Times New Roman"/>
                <w:rFonts w:ascii="Times New Roman" w:hAnsi="Times New Roman"/>
                <w:b w:val="0"/>
                <w:i w:val="0"/>
                <w:sz w:val="22"/>
              </w:rPr>
              <w:t>27.87</w:t>
            </w:r>
          </w:p>
        </w:tc>
      </w:tr>
      <w:tr>
        <w:tc>
          <w:tcPr>
            <w:tcW w:type="dxa" w:w="907"/>
            <w:vAlign w:val="center"/>
          </w:tcPr>
          <w:p>
            <w:pPr>
              <w:jc w:val="center"/>
            </w:pPr>
            <w:r>
              <w:rPr>
                <w:rFonts w:ascii="Times New Roman" w:hAnsi="Times New Roman" w:cs="Times New Roman"/>
                <w:rFonts w:ascii="Times New Roman" w:hAnsi="Times New Roman"/>
                <w:b w:val="0"/>
                <w:i w:val="0"/>
                <w:sz w:val="22"/>
              </w:rPr>
              <w:t>30</w:t>
            </w:r>
          </w:p>
        </w:tc>
        <w:tc>
          <w:tcPr>
            <w:tcW w:type="dxa" w:w="907"/>
            <w:vAlign w:val="center"/>
          </w:tcPr>
          <w:p>
            <w:pPr>
              <w:jc w:val="center"/>
            </w:pPr>
            <w:r>
              <w:rPr>
                <w:rFonts w:ascii="Times New Roman" w:hAnsi="Times New Roman" w:cs="Times New Roman"/>
                <w:rFonts w:ascii="Times New Roman" w:hAnsi="Times New Roman"/>
                <w:b w:val="0"/>
                <w:i w:val="0"/>
                <w:sz w:val="22"/>
              </w:rPr>
              <w:t>+0.8997</w:t>
            </w:r>
          </w:p>
        </w:tc>
        <w:tc>
          <w:tcPr>
            <w:tcW w:type="dxa" w:w="907"/>
            <w:vAlign w:val="center"/>
          </w:tcPr>
          <w:p>
            <w:pPr>
              <w:jc w:val="center"/>
            </w:pPr>
            <w:r>
              <w:rPr>
                <w:rFonts w:ascii="Times New Roman" w:hAnsi="Times New Roman" w:cs="Times New Roman"/>
                <w:rFonts w:ascii="Times New Roman" w:hAnsi="Times New Roman"/>
                <w:b w:val="0"/>
                <w:i w:val="0"/>
                <w:sz w:val="22"/>
              </w:rPr>
              <w:t>+0.9033</w:t>
            </w:r>
          </w:p>
        </w:tc>
        <w:tc>
          <w:tcPr>
            <w:tcW w:type="dxa" w:w="907"/>
            <w:vAlign w:val="center"/>
          </w:tcPr>
          <w:p>
            <w:pPr>
              <w:jc w:val="center"/>
            </w:pPr>
            <w:r>
              <w:rPr>
                <w:rFonts w:ascii="Times New Roman" w:hAnsi="Times New Roman" w:cs="Times New Roman"/>
                <w:rFonts w:ascii="Times New Roman" w:hAnsi="Times New Roman"/>
                <w:b w:val="0"/>
                <w:i w:val="0"/>
                <w:sz w:val="22"/>
              </w:rPr>
              <w:t>+0.9040</w:t>
            </w:r>
          </w:p>
        </w:tc>
        <w:tc>
          <w:tcPr>
            <w:tcW w:type="dxa" w:w="907"/>
            <w:vAlign w:val="center"/>
          </w:tcPr>
          <w:p>
            <w:pPr>
              <w:jc w:val="center"/>
            </w:pPr>
            <w:r>
              <w:rPr>
                <w:rFonts w:ascii="Times New Roman" w:hAnsi="Times New Roman" w:cs="Times New Roman"/>
                <w:rFonts w:ascii="Times New Roman" w:hAnsi="Times New Roman"/>
                <w:b w:val="0"/>
                <w:i w:val="0"/>
                <w:sz w:val="22"/>
              </w:rPr>
              <w:t>0.9712</w:t>
            </w:r>
          </w:p>
        </w:tc>
        <w:tc>
          <w:tcPr>
            <w:tcW w:type="dxa" w:w="907"/>
            <w:vAlign w:val="center"/>
          </w:tcPr>
          <w:p>
            <w:pPr>
              <w:jc w:val="center"/>
            </w:pPr>
            <w:r>
              <w:rPr>
                <w:rFonts w:ascii="Times New Roman" w:hAnsi="Times New Roman" w:cs="Times New Roman"/>
                <w:rFonts w:ascii="Times New Roman" w:hAnsi="Times New Roman"/>
                <w:b w:val="0"/>
                <w:i w:val="0"/>
                <w:sz w:val="22"/>
              </w:rPr>
              <w:t>0.9713</w:t>
            </w:r>
          </w:p>
        </w:tc>
        <w:tc>
          <w:tcPr>
            <w:tcW w:type="dxa" w:w="907"/>
            <w:vAlign w:val="center"/>
          </w:tcPr>
          <w:p>
            <w:pPr>
              <w:jc w:val="center"/>
            </w:pPr>
            <w:r>
              <w:rPr>
                <w:rFonts w:ascii="Times New Roman" w:hAnsi="Times New Roman" w:cs="Times New Roman"/>
                <w:rFonts w:ascii="Times New Roman" w:hAnsi="Times New Roman"/>
                <w:b w:val="0"/>
                <w:i w:val="0"/>
                <w:sz w:val="22"/>
              </w:rPr>
              <w:t>0.9714</w:t>
            </w:r>
          </w:p>
        </w:tc>
        <w:tc>
          <w:tcPr>
            <w:tcW w:type="dxa" w:w="907"/>
            <w:vAlign w:val="center"/>
          </w:tcPr>
          <w:p>
            <w:pPr>
              <w:jc w:val="center"/>
            </w:pPr>
            <w:r>
              <w:rPr>
                <w:rFonts w:ascii="Times New Roman" w:hAnsi="Times New Roman" w:cs="Times New Roman"/>
                <w:rFonts w:ascii="Times New Roman" w:hAnsi="Times New Roman"/>
                <w:b w:val="0"/>
                <w:i w:val="0"/>
                <w:sz w:val="22"/>
              </w:rPr>
              <w:t>31.35</w:t>
            </w:r>
          </w:p>
        </w:tc>
        <w:tc>
          <w:tcPr>
            <w:tcW w:type="dxa" w:w="907"/>
            <w:vAlign w:val="center"/>
          </w:tcPr>
          <w:p>
            <w:pPr>
              <w:jc w:val="center"/>
            </w:pPr>
            <w:r>
              <w:rPr>
                <w:rFonts w:ascii="Times New Roman" w:hAnsi="Times New Roman" w:cs="Times New Roman"/>
                <w:rFonts w:ascii="Times New Roman" w:hAnsi="Times New Roman"/>
                <w:b w:val="0"/>
                <w:i w:val="0"/>
                <w:sz w:val="22"/>
              </w:rPr>
              <w:t>31.34</w:t>
            </w:r>
          </w:p>
        </w:tc>
        <w:tc>
          <w:tcPr>
            <w:tcW w:type="dxa" w:w="907"/>
            <w:vAlign w:val="center"/>
          </w:tcPr>
          <w:p>
            <w:pPr>
              <w:jc w:val="center"/>
            </w:pPr>
            <w:r>
              <w:rPr>
                <w:rFonts w:ascii="Times New Roman" w:hAnsi="Times New Roman" w:cs="Times New Roman"/>
                <w:rFonts w:ascii="Times New Roman" w:hAnsi="Times New Roman"/>
                <w:b w:val="0"/>
                <w:i w:val="0"/>
                <w:sz w:val="22"/>
              </w:rPr>
              <w:t>31.34</w:t>
            </w:r>
          </w:p>
        </w:tc>
      </w:tr>
      <w:tr>
        <w:tc>
          <w:tcPr>
            <w:tcW w:type="dxa" w:w="907"/>
            <w:vAlign w:val="center"/>
          </w:tcPr>
          <w:p>
            <w:pPr>
              <w:jc w:val="center"/>
            </w:pPr>
            <w:r>
              <w:rPr>
                <w:rFonts w:ascii="Times New Roman" w:hAnsi="Times New Roman" w:cs="Times New Roman"/>
                <w:rFonts w:ascii="Times New Roman" w:hAnsi="Times New Roman"/>
                <w:b w:val="0"/>
                <w:i w:val="0"/>
                <w:sz w:val="22"/>
              </w:rPr>
              <w:t>33</w:t>
            </w:r>
          </w:p>
        </w:tc>
        <w:tc>
          <w:tcPr>
            <w:tcW w:type="dxa" w:w="907"/>
            <w:vAlign w:val="center"/>
          </w:tcPr>
          <w:p>
            <w:pPr>
              <w:jc w:val="center"/>
            </w:pPr>
            <w:r>
              <w:rPr>
                <w:rFonts w:ascii="Times New Roman" w:hAnsi="Times New Roman" w:cs="Times New Roman"/>
                <w:rFonts w:ascii="Times New Roman" w:hAnsi="Times New Roman"/>
                <w:b w:val="0"/>
                <w:i w:val="0"/>
                <w:sz w:val="22"/>
              </w:rPr>
              <w:t>+0.8152</w:t>
            </w:r>
          </w:p>
        </w:tc>
        <w:tc>
          <w:tcPr>
            <w:tcW w:type="dxa" w:w="907"/>
            <w:vAlign w:val="center"/>
          </w:tcPr>
          <w:p>
            <w:pPr>
              <w:jc w:val="center"/>
            </w:pPr>
            <w:r>
              <w:rPr>
                <w:rFonts w:ascii="Times New Roman" w:hAnsi="Times New Roman" w:cs="Times New Roman"/>
                <w:rFonts w:ascii="Times New Roman" w:hAnsi="Times New Roman"/>
                <w:b w:val="0"/>
                <w:i w:val="0"/>
                <w:sz w:val="22"/>
              </w:rPr>
              <w:t>+0.8066</w:t>
            </w:r>
          </w:p>
        </w:tc>
        <w:tc>
          <w:tcPr>
            <w:tcW w:type="dxa" w:w="907"/>
            <w:vAlign w:val="center"/>
          </w:tcPr>
          <w:p>
            <w:pPr>
              <w:jc w:val="center"/>
            </w:pPr>
            <w:r>
              <w:rPr>
                <w:rFonts w:ascii="Times New Roman" w:hAnsi="Times New Roman" w:cs="Times New Roman"/>
                <w:rFonts w:ascii="Times New Roman" w:hAnsi="Times New Roman"/>
                <w:b w:val="0"/>
                <w:i w:val="0"/>
                <w:sz w:val="22"/>
              </w:rPr>
              <w:t>+0.8068</w:t>
            </w:r>
          </w:p>
        </w:tc>
        <w:tc>
          <w:tcPr>
            <w:tcW w:type="dxa" w:w="907"/>
            <w:vAlign w:val="center"/>
          </w:tcPr>
          <w:p>
            <w:pPr>
              <w:jc w:val="center"/>
            </w:pPr>
            <w:r>
              <w:rPr>
                <w:rFonts w:ascii="Times New Roman" w:hAnsi="Times New Roman" w:cs="Times New Roman"/>
                <w:rFonts w:ascii="Times New Roman" w:hAnsi="Times New Roman"/>
                <w:b w:val="0"/>
                <w:i w:val="0"/>
                <w:sz w:val="22"/>
              </w:rPr>
              <w:t>0.9361</w:t>
            </w:r>
          </w:p>
        </w:tc>
        <w:tc>
          <w:tcPr>
            <w:tcW w:type="dxa" w:w="907"/>
            <w:vAlign w:val="center"/>
          </w:tcPr>
          <w:p>
            <w:pPr>
              <w:jc w:val="center"/>
            </w:pPr>
            <w:r>
              <w:rPr>
                <w:rFonts w:ascii="Times New Roman" w:hAnsi="Times New Roman" w:cs="Times New Roman"/>
                <w:rFonts w:ascii="Times New Roman" w:hAnsi="Times New Roman"/>
                <w:b w:val="0"/>
                <w:i w:val="0"/>
                <w:sz w:val="22"/>
              </w:rPr>
              <w:t>0.9353</w:t>
            </w:r>
          </w:p>
        </w:tc>
        <w:tc>
          <w:tcPr>
            <w:tcW w:type="dxa" w:w="907"/>
            <w:vAlign w:val="center"/>
          </w:tcPr>
          <w:p>
            <w:pPr>
              <w:jc w:val="center"/>
            </w:pPr>
            <w:r>
              <w:rPr>
                <w:rFonts w:ascii="Times New Roman" w:hAnsi="Times New Roman" w:cs="Times New Roman"/>
                <w:rFonts w:ascii="Times New Roman" w:hAnsi="Times New Roman"/>
                <w:b w:val="0"/>
                <w:i w:val="0"/>
                <w:sz w:val="22"/>
              </w:rPr>
              <w:t>0.9353</w:t>
            </w:r>
          </w:p>
        </w:tc>
        <w:tc>
          <w:tcPr>
            <w:tcW w:type="dxa" w:w="907"/>
            <w:vAlign w:val="center"/>
          </w:tcPr>
          <w:p>
            <w:pPr>
              <w:jc w:val="center"/>
            </w:pPr>
            <w:r>
              <w:rPr>
                <w:rFonts w:ascii="Times New Roman" w:hAnsi="Times New Roman" w:cs="Times New Roman"/>
                <w:rFonts w:ascii="Times New Roman" w:hAnsi="Times New Roman"/>
                <w:b w:val="0"/>
                <w:i w:val="0"/>
                <w:sz w:val="22"/>
              </w:rPr>
              <w:t>28.60</w:t>
            </w:r>
          </w:p>
        </w:tc>
        <w:tc>
          <w:tcPr>
            <w:tcW w:type="dxa" w:w="907"/>
            <w:vAlign w:val="center"/>
          </w:tcPr>
          <w:p>
            <w:pPr>
              <w:jc w:val="center"/>
            </w:pPr>
            <w:r>
              <w:rPr>
                <w:rFonts w:ascii="Times New Roman" w:hAnsi="Times New Roman" w:cs="Times New Roman"/>
                <w:rFonts w:ascii="Times New Roman" w:hAnsi="Times New Roman"/>
                <w:b w:val="0"/>
                <w:i w:val="0"/>
                <w:sz w:val="22"/>
              </w:rPr>
              <w:t>28.60</w:t>
            </w:r>
          </w:p>
        </w:tc>
        <w:tc>
          <w:tcPr>
            <w:tcW w:type="dxa" w:w="907"/>
            <w:vAlign w:val="center"/>
          </w:tcPr>
          <w:p>
            <w:pPr>
              <w:jc w:val="center"/>
            </w:pPr>
            <w:r>
              <w:rPr>
                <w:rFonts w:ascii="Times New Roman" w:hAnsi="Times New Roman" w:cs="Times New Roman"/>
                <w:rFonts w:ascii="Times New Roman" w:hAnsi="Times New Roman"/>
                <w:b w:val="0"/>
                <w:i w:val="0"/>
                <w:sz w:val="22"/>
              </w:rPr>
              <w:t>28.60</w:t>
            </w:r>
          </w:p>
        </w:tc>
      </w:tr>
      <w:tr>
        <w:tc>
          <w:tcPr>
            <w:tcW w:type="dxa" w:w="907"/>
            <w:vAlign w:val="center"/>
          </w:tcPr>
          <w:p>
            <w:pPr>
              <w:jc w:val="center"/>
            </w:pPr>
            <w:r>
              <w:rPr>
                <w:rFonts w:ascii="Times New Roman" w:hAnsi="Times New Roman" w:cs="Times New Roman"/>
                <w:rFonts w:ascii="Times New Roman" w:hAnsi="Times New Roman"/>
                <w:b w:val="0"/>
                <w:i w:val="0"/>
                <w:sz w:val="22"/>
              </w:rPr>
              <w:t>40</w:t>
            </w:r>
          </w:p>
        </w:tc>
        <w:tc>
          <w:tcPr>
            <w:tcW w:type="dxa" w:w="907"/>
            <w:vAlign w:val="center"/>
          </w:tcPr>
          <w:p>
            <w:pPr>
              <w:jc w:val="center"/>
            </w:pPr>
            <w:r>
              <w:rPr>
                <w:rFonts w:ascii="Times New Roman" w:hAnsi="Times New Roman" w:cs="Times New Roman"/>
                <w:rFonts w:ascii="Times New Roman" w:hAnsi="Times New Roman"/>
                <w:b w:val="0"/>
                <w:i w:val="0"/>
                <w:sz w:val="22"/>
              </w:rPr>
              <w:t>+0.0004</w:t>
            </w:r>
          </w:p>
        </w:tc>
        <w:tc>
          <w:tcPr>
            <w:tcW w:type="dxa" w:w="907"/>
            <w:vAlign w:val="center"/>
          </w:tcPr>
          <w:p>
            <w:pPr>
              <w:jc w:val="center"/>
            </w:pPr>
            <w:r>
              <w:rPr>
                <w:rFonts w:ascii="Times New Roman" w:hAnsi="Times New Roman" w:cs="Times New Roman"/>
                <w:rFonts w:ascii="Times New Roman" w:hAnsi="Times New Roman"/>
                <w:b w:val="0"/>
                <w:i w:val="0"/>
                <w:sz w:val="22"/>
              </w:rPr>
              <w:t>+0.0004</w:t>
            </w:r>
          </w:p>
        </w:tc>
        <w:tc>
          <w:tcPr>
            <w:tcW w:type="dxa" w:w="907"/>
            <w:vAlign w:val="center"/>
          </w:tcPr>
          <w:p>
            <w:pPr>
              <w:jc w:val="center"/>
            </w:pPr>
            <w:r>
              <w:rPr>
                <w:rFonts w:ascii="Times New Roman" w:hAnsi="Times New Roman" w:cs="Times New Roman"/>
                <w:rFonts w:ascii="Times New Roman" w:hAnsi="Times New Roman"/>
                <w:b w:val="0"/>
                <w:i w:val="0"/>
                <w:sz w:val="22"/>
              </w:rPr>
              <w:t>+0.0004</w:t>
            </w:r>
          </w:p>
        </w:tc>
        <w:tc>
          <w:tcPr>
            <w:tcW w:type="dxa" w:w="907"/>
            <w:vAlign w:val="center"/>
          </w:tcPr>
          <w:p>
            <w:pPr>
              <w:jc w:val="center"/>
            </w:pPr>
            <w:r>
              <w:rPr>
                <w:rFonts w:ascii="Times New Roman" w:hAnsi="Times New Roman" w:cs="Times New Roman"/>
                <w:rFonts w:ascii="Times New Roman" w:hAnsi="Times New Roman"/>
                <w:b w:val="0"/>
                <w:i w:val="0"/>
                <w:sz w:val="22"/>
              </w:rPr>
              <w:t>0.9896</w:t>
            </w:r>
          </w:p>
        </w:tc>
        <w:tc>
          <w:tcPr>
            <w:tcW w:type="dxa" w:w="907"/>
            <w:vAlign w:val="center"/>
          </w:tcPr>
          <w:p>
            <w:pPr>
              <w:jc w:val="center"/>
            </w:pPr>
            <w:r>
              <w:rPr>
                <w:rFonts w:ascii="Times New Roman" w:hAnsi="Times New Roman" w:cs="Times New Roman"/>
                <w:rFonts w:ascii="Times New Roman" w:hAnsi="Times New Roman"/>
                <w:b w:val="0"/>
                <w:i w:val="0"/>
                <w:sz w:val="22"/>
              </w:rPr>
              <w:t>0.9876</w:t>
            </w:r>
          </w:p>
        </w:tc>
        <w:tc>
          <w:tcPr>
            <w:tcW w:type="dxa" w:w="907"/>
            <w:vAlign w:val="center"/>
          </w:tcPr>
          <w:p>
            <w:pPr>
              <w:jc w:val="center"/>
            </w:pPr>
            <w:r>
              <w:rPr>
                <w:rFonts w:ascii="Times New Roman" w:hAnsi="Times New Roman" w:cs="Times New Roman"/>
                <w:rFonts w:ascii="Times New Roman" w:hAnsi="Times New Roman"/>
                <w:b w:val="0"/>
                <w:i w:val="0"/>
                <w:sz w:val="22"/>
              </w:rPr>
              <w:t>0.9886</w:t>
            </w:r>
          </w:p>
        </w:tc>
        <w:tc>
          <w:tcPr>
            <w:tcW w:type="dxa" w:w="907"/>
            <w:vAlign w:val="center"/>
          </w:tcPr>
          <w:p>
            <w:pPr>
              <w:jc w:val="center"/>
            </w:pPr>
            <w:r>
              <w:rPr>
                <w:rFonts w:ascii="Times New Roman" w:hAnsi="Times New Roman" w:cs="Times New Roman"/>
                <w:rFonts w:ascii="Times New Roman" w:hAnsi="Times New Roman"/>
                <w:b w:val="0"/>
                <w:i w:val="0"/>
                <w:sz w:val="22"/>
              </w:rPr>
              <w:t>47.47</w:t>
            </w:r>
          </w:p>
        </w:tc>
        <w:tc>
          <w:tcPr>
            <w:tcW w:type="dxa" w:w="907"/>
            <w:vAlign w:val="center"/>
          </w:tcPr>
          <w:p>
            <w:pPr>
              <w:jc w:val="center"/>
            </w:pPr>
            <w:r>
              <w:rPr>
                <w:rFonts w:ascii="Times New Roman" w:hAnsi="Times New Roman" w:cs="Times New Roman"/>
                <w:rFonts w:ascii="Times New Roman" w:hAnsi="Times New Roman"/>
                <w:b w:val="0"/>
                <w:i w:val="0"/>
                <w:sz w:val="22"/>
              </w:rPr>
              <w:t>46.93</w:t>
            </w:r>
          </w:p>
        </w:tc>
        <w:tc>
          <w:tcPr>
            <w:tcW w:type="dxa" w:w="907"/>
            <w:vAlign w:val="center"/>
          </w:tcPr>
          <w:p>
            <w:pPr>
              <w:jc w:val="center"/>
            </w:pPr>
            <w:r>
              <w:rPr>
                <w:rFonts w:ascii="Times New Roman" w:hAnsi="Times New Roman" w:cs="Times New Roman"/>
                <w:rFonts w:ascii="Times New Roman" w:hAnsi="Times New Roman"/>
                <w:b w:val="0"/>
                <w:i w:val="0"/>
                <w:sz w:val="22"/>
              </w:rPr>
              <w:t>47.21</w:t>
            </w:r>
          </w:p>
        </w:tc>
      </w:tr>
    </w:tbl>
    <w:p/>
    <w:p>
      <w:pPr>
        <w:spacing w:before="0" w:after="120" w:line="240" w:lineRule="exact"/>
        <w:ind w:firstLine="425"/>
        <w:jc w:val="both"/>
      </w:pPr>
      <w:r>
        <w:rPr>
          <w:rFonts w:ascii="Times New Roman" w:hAnsi="Times New Roman" w:cs="Times New Roman"/>
          <w:rFonts w:ascii="Times New Roman" w:hAnsi="Times New Roman"/>
          <w:b w:val="0"/>
          <w:i w:val="0"/>
          <w:sz w:val="24"/>
        </w:rPr>
        <w:t>For Band 30, all three methods produce very similar SNR gain (approximately +0.90), with TPNE (+0.9033) and 4PNE (+0.9040) marginally exceeding NPNE (+0.8997). The SSIM values are nearly identical across methods (≈0.971), confirming that structural fidelity is preserved. For Band 33, NPNE achieves a slightly higher SNR gain (+0.8152) compared with TPNE (+0.8066) and 4PNE (+0.8068), while SSIM remains consistent across all three methods (≈0.935). These results are consistent with the noise variance analysis in Tables 1 and 2, where Band 33 showed mixed behaviour across methods for higher inverse band counts.</w:t>
      </w:r>
    </w:p>
    <w:p>
      <w:pPr>
        <w:spacing w:before="0" w:after="120" w:line="240" w:lineRule="exact"/>
        <w:ind w:firstLine="425"/>
        <w:jc w:val="both"/>
      </w:pPr>
      <w:r>
        <w:rPr>
          <w:rFonts w:ascii="Times New Roman" w:hAnsi="Times New Roman" w:cs="Times New Roman"/>
          <w:rFonts w:ascii="Times New Roman" w:hAnsi="Times New Roman"/>
          <w:b w:val="0"/>
          <w:i w:val="0"/>
          <w:sz w:val="24"/>
        </w:rPr>
        <w:t>Bands 24 and 25 show the largest absolute SNR gains (approximately +0.023 and +0.030 respectively), which corresponds to the region of highest noise content in the reflectance dataset. In this region, TPNE and 4PNE provide marginally higher SNR gains than NPNE, while SSIM and PSNR values remain comparable across methods. Band 30 exhibits the highest absolute SNR gain in the dataset (+0.90), reflecting a band with high initial noise fraction that benefits strongly from MNF denoising regardless of the noise estimation method employed.</w:t>
      </w:r>
    </w:p>
    <w:p>
      <w:pPr>
        <w:spacing w:before="0" w:after="120" w:line="240" w:lineRule="exact"/>
        <w:ind w:firstLine="425"/>
        <w:jc w:val="both"/>
      </w:pPr>
      <w:r>
        <w:rPr>
          <w:rFonts w:ascii="Times New Roman" w:hAnsi="Times New Roman" w:cs="Times New Roman"/>
          <w:rFonts w:ascii="Times New Roman" w:hAnsi="Times New Roman"/>
          <w:b w:val="0"/>
          <w:i w:val="0"/>
          <w:sz w:val="24"/>
        </w:rPr>
        <w:t>The visual analysis of reconstructed band images further confirms these findings. The TPNE approach exhibits visibly improved noise suppression and enhanced structural clarity compared to the next-pixel method, while better preserving spatial details in both Band 30 and Band 33.</w:t>
      </w:r>
    </w:p>
    <w:p>
      <w:pPr>
        <w:spacing w:before="240" w:after="120" w:line="280" w:lineRule="exact"/>
        <w:jc w:val="left"/>
      </w:pPr>
      <w:r>
        <w:rPr>
          <w:rFonts w:ascii="Times New Roman" w:hAnsi="Times New Roman" w:cs="Times New Roman"/>
          <w:rFonts w:ascii="Times New Roman" w:hAnsi="Times New Roman"/>
          <w:b/>
          <w:i w:val="0"/>
          <w:sz w:val="28"/>
        </w:rPr>
        <w:t>8  Conclusions</w:t>
      </w:r>
    </w:p>
    <w:p>
      <w:pPr>
        <w:spacing w:before="0" w:after="120" w:line="240" w:lineRule="exact"/>
        <w:ind w:firstLine="425"/>
        <w:jc w:val="both"/>
      </w:pPr>
      <w:r>
        <w:rPr>
          <w:rFonts w:ascii="Times New Roman" w:hAnsi="Times New Roman" w:cs="Times New Roman"/>
          <w:rFonts w:ascii="Times New Roman" w:hAnsi="Times New Roman"/>
          <w:b w:val="0"/>
          <w:i w:val="0"/>
          <w:sz w:val="24"/>
        </w:rPr>
        <w:t>The present study proposes an improved minimum noise fraction transform technique for hyperspectral image denoising. Although Global MNF and Line-by-Line (LBL) architectures were already well established, the main contribution of the present work is the introduction of a three-pixel-based noise estimation (TPNE) method, which significantly enhanced the performance in reducing noise while maintaining the spectral information. Unlike traditional approaches that considered only horizontally adjacent pixels, the proposed method also includes vertical and diagonal pixel relationships, which help capture the spatial noise structure more accurately and reduce noise more effectively. A further extension, the Four-Pixel Noise Estimation (4PNE) method, additionally incorporates the below-horizontal directional difference, providing a more isotropic noise estimate.</w:t>
      </w:r>
    </w:p>
    <w:p>
      <w:pPr>
        <w:spacing w:before="0" w:after="120" w:line="240" w:lineRule="exact"/>
        <w:ind w:firstLine="425"/>
        <w:jc w:val="both"/>
      </w:pPr>
      <w:r>
        <w:rPr>
          <w:rFonts w:ascii="Times New Roman" w:hAnsi="Times New Roman" w:cs="Times New Roman"/>
          <w:rFonts w:ascii="Times New Roman" w:hAnsi="Times New Roman"/>
          <w:b w:val="0"/>
          <w:i w:val="0"/>
          <w:sz w:val="24"/>
        </w:rPr>
        <w:t>The proposed noise estimation methods were validated by integrating them into both Global MNF and LBL architectures and evaluating them on a high-resolution reflectance hyperspectral dataset (40 bands, 2199 × 1280 pixels). Experimental results demonstrate that both TPNE and 4PNE enhance all 40 spectral bands (100% of bands show positive SNR gain). TPNE outperforms NPNE on SNR gain in 35 of 40 bands, and 4PNE does so in 33 of 40 bands. The mean SSIM and PSNR remain competitive across all methods, confirming that noise suppression improvements do not come at the cost of significant structural degradation.</w:t>
      </w:r>
    </w:p>
    <w:p>
      <w:pPr>
        <w:spacing w:before="0" w:after="120" w:line="240" w:lineRule="exact"/>
        <w:ind w:firstLine="425"/>
        <w:jc w:val="both"/>
      </w:pPr>
      <w:r>
        <w:rPr>
          <w:rFonts w:ascii="Times New Roman" w:hAnsi="Times New Roman" w:cs="Times New Roman"/>
          <w:rFonts w:ascii="Times New Roman" w:hAnsi="Times New Roman"/>
          <w:b w:val="0"/>
          <w:i w:val="0"/>
          <w:sz w:val="24"/>
        </w:rPr>
        <w:t>Experimental results demonstrate that the suggested method reduces the estimated noise while improving the signal quality, with more noticeable performance improvements observed in the LBL framework, where accurate noise estimation was important for real-time processing. These findings confirm that multi-directional noise estimation provides more consistent and larger SNR improvements, particularly in spectral bands with high noise fraction where the neighbour-pixel covariance information has the greatest discriminating power.</w:t>
      </w:r>
    </w:p>
    <w:p>
      <w:pPr>
        <w:spacing w:before="240" w:after="120" w:line="280" w:lineRule="exact"/>
        <w:jc w:val="left"/>
      </w:pPr>
      <w:r>
        <w:rPr>
          <w:rFonts w:ascii="Times New Roman" w:hAnsi="Times New Roman" w:cs="Times New Roman"/>
          <w:rFonts w:ascii="Times New Roman" w:hAnsi="Times New Roman"/>
          <w:b/>
          <w:i w:val="0"/>
          <w:sz w:val="28"/>
        </w:rPr>
        <w:t>9  Acknowledgement</w:t>
      </w:r>
    </w:p>
    <w:p>
      <w:pPr>
        <w:spacing w:before="0" w:after="120" w:line="240" w:lineRule="exact"/>
        <w:ind w:firstLine="425"/>
        <w:jc w:val="both"/>
      </w:pPr>
      <w:r>
        <w:rPr>
          <w:rFonts w:ascii="Times New Roman" w:hAnsi="Times New Roman" w:cs="Times New Roman"/>
          <w:rFonts w:ascii="Times New Roman" w:hAnsi="Times New Roman"/>
          <w:b w:val="0"/>
          <w:i w:val="0"/>
          <w:sz w:val="24"/>
        </w:rPr>
        <w:t>Authors would like to express their gratitude to Dr. Manvendra Singh, IRDE, DRDO, Dehradun and his team for providing the hyperspectral dataset. Further, the reviewers' insightful comments are greatly appreciated, and the authors would like to express their gratitude. Furthermore, authors acknowledge the fair and responsible use of OpenAI's ChatGPT for language refinement and grammar checking.</w:t>
      </w:r>
    </w:p>
    <w:p>
      <w:pPr>
        <w:spacing w:before="240" w:after="120" w:line="280" w:lineRule="exact"/>
        <w:jc w:val="left"/>
      </w:pPr>
      <w:r>
        <w:rPr>
          <w:rFonts w:ascii="Times New Roman" w:hAnsi="Times New Roman" w:cs="Times New Roman"/>
          <w:rFonts w:ascii="Times New Roman" w:hAnsi="Times New Roman"/>
          <w:b/>
          <w:i w:val="0"/>
          <w:sz w:val="28"/>
        </w:rPr>
        <w:t xml:space="preserve">  References</w:t>
      </w:r>
    </w:p>
    <w:p>
      <w:pPr>
        <w:spacing w:before="0" w:after="80" w:line="280" w:lineRule="exact"/>
        <w:ind w:left="425" w:hanging="425"/>
        <w:jc w:val="both"/>
      </w:pPr>
      <w:r>
        <w:rPr>
          <w:rFonts w:ascii="Times New Roman" w:hAnsi="Times New Roman" w:cs="Times New Roman"/>
          <w:rFonts w:ascii="Times New Roman" w:hAnsi="Times New Roman"/>
          <w:b w:val="0"/>
          <w:i w:val="0"/>
          <w:sz w:val="22"/>
        </w:rPr>
        <w:t>[1] Chien-I Chang and Qian Du. Interference and noise-adjusted principal components analysis. IEEE Transactions on Geoscience and Remote Sensing, 37(5):2387–2396, 1999.</w:t>
      </w:r>
    </w:p>
    <w:p>
      <w:pPr>
        <w:spacing w:before="0" w:after="80" w:line="280" w:lineRule="exact"/>
        <w:ind w:left="425" w:hanging="425"/>
        <w:jc w:val="both"/>
      </w:pPr>
      <w:r>
        <w:rPr>
          <w:rFonts w:ascii="Times New Roman" w:hAnsi="Times New Roman" w:cs="Times New Roman"/>
          <w:rFonts w:ascii="Times New Roman" w:hAnsi="Times New Roman"/>
          <w:b w:val="0"/>
          <w:i w:val="0"/>
          <w:sz w:val="22"/>
        </w:rPr>
        <w:t>[2] A.A. Green, M. Berman, P. Switzer, and M.D. Craig. A transformation for ordering multispectral data in terms of image quality with implications for noise removal. IEEE Transactions on Geoscience and Remote Sensing, 26(1):65–74, 1988.</w:t>
      </w:r>
    </w:p>
    <w:p>
      <w:pPr>
        <w:spacing w:before="0" w:after="80" w:line="280" w:lineRule="exact"/>
        <w:ind w:left="425" w:hanging="425"/>
        <w:jc w:val="both"/>
      </w:pPr>
      <w:r>
        <w:rPr>
          <w:rFonts w:ascii="Times New Roman" w:hAnsi="Times New Roman" w:cs="Times New Roman"/>
          <w:rFonts w:ascii="Times New Roman" w:hAnsi="Times New Roman"/>
          <w:b w:val="0"/>
          <w:i w:val="0"/>
          <w:sz w:val="22"/>
        </w:rPr>
        <w:t>[3] N. Renard, S. Bourennane, and J. Blanc-Talon. Denoising and dimensionality reduction using multilinear tools for hyperspectral images. IEEE Geoscience and Remote Sensing Letters, 2008.</w:t>
      </w:r>
    </w:p>
    <w:p>
      <w:pPr>
        <w:spacing w:before="0" w:after="80" w:line="280" w:lineRule="exact"/>
        <w:ind w:left="425" w:hanging="425"/>
        <w:jc w:val="both"/>
      </w:pPr>
      <w:r>
        <w:rPr>
          <w:rFonts w:ascii="Times New Roman" w:hAnsi="Times New Roman" w:cs="Times New Roman"/>
          <w:rFonts w:ascii="Times New Roman" w:hAnsi="Times New Roman"/>
          <w:b w:val="0"/>
          <w:i w:val="0"/>
          <w:sz w:val="22"/>
        </w:rPr>
        <w:t>[4] Chein-I Chang. Hyperspectral data exploitation: Theory and applications. 2007.</w:t>
      </w:r>
    </w:p>
    <w:p>
      <w:pPr>
        <w:spacing w:before="0" w:after="80" w:line="280" w:lineRule="exact"/>
        <w:ind w:left="425" w:hanging="425"/>
        <w:jc w:val="both"/>
      </w:pPr>
      <w:r>
        <w:rPr>
          <w:rFonts w:ascii="Times New Roman" w:hAnsi="Times New Roman" w:cs="Times New Roman"/>
          <w:rFonts w:ascii="Times New Roman" w:hAnsi="Times New Roman"/>
          <w:b w:val="0"/>
          <w:i w:val="0"/>
          <w:sz w:val="22"/>
        </w:rPr>
        <w:t>[5] Asgeir Bjorgan and Lise Lyngsnes Randeberg. Real-time noise removal for line-scanning hyperspectral devices using a minimum noise fraction-based approach. Sensors, 15(2):3362–3378, 2015.</w:t>
      </w:r>
    </w:p>
    <w:p>
      <w:pPr>
        <w:spacing w:before="0" w:after="80" w:line="280" w:lineRule="exact"/>
        <w:ind w:left="425" w:hanging="425"/>
        <w:jc w:val="both"/>
      </w:pPr>
      <w:r>
        <w:rPr>
          <w:rFonts w:ascii="Times New Roman" w:hAnsi="Times New Roman" w:cs="Times New Roman"/>
          <w:rFonts w:ascii="Times New Roman" w:hAnsi="Times New Roman"/>
          <w:b w:val="0"/>
          <w:i w:val="0"/>
          <w:sz w:val="22"/>
        </w:rPr>
        <w:t>[6] A. Bjorgan and L. L. Randeberg. MNF-LBL source code. https://github.com/ntnu-bioopt/mnf, 2015.</w:t>
      </w:r>
    </w:p>
    <w:p>
      <w:pPr>
        <w:spacing w:before="0" w:after="80" w:line="280" w:lineRule="exact"/>
        <w:ind w:left="425" w:hanging="425"/>
        <w:jc w:val="both"/>
      </w:pPr>
      <w:r>
        <w:rPr>
          <w:rFonts w:ascii="Times New Roman" w:hAnsi="Times New Roman" w:cs="Times New Roman"/>
          <w:rFonts w:ascii="Times New Roman" w:hAnsi="Times New Roman"/>
          <w:b w:val="0"/>
          <w:i w:val="0"/>
          <w:sz w:val="22"/>
        </w:rPr>
        <w:t>[7] Wei Yang, Lianru Gao, and Dongmei Chen. Real-time target detection in hyperspectral images based on spatial-spectral information extraction. EURASIP Journal on Advances in Signal Processing, 2012, 07 2012.</w:t>
      </w:r>
    </w:p>
    <w:p>
      <w:pPr>
        <w:spacing w:before="0" w:after="80" w:line="280" w:lineRule="exact"/>
        <w:ind w:left="425" w:hanging="425"/>
        <w:jc w:val="both"/>
      </w:pPr>
      <w:r>
        <w:rPr>
          <w:rFonts w:ascii="Times New Roman" w:hAnsi="Times New Roman" w:cs="Times New Roman"/>
          <w:rFonts w:ascii="Times New Roman" w:hAnsi="Times New Roman"/>
          <w:b w:val="0"/>
          <w:i w:val="0"/>
          <w:sz w:val="22"/>
        </w:rPr>
        <w:t>[8] Guolan Lu and Baowei Fei. Medical hyperspectral imaging: a review. Journal of Biomedical Optics, 2014.</w:t>
      </w:r>
    </w:p>
    <w:p>
      <w:pPr>
        <w:spacing w:before="0" w:after="80" w:line="280" w:lineRule="exact"/>
        <w:ind w:left="425" w:hanging="425"/>
        <w:jc w:val="both"/>
      </w:pPr>
      <w:r>
        <w:rPr>
          <w:rFonts w:ascii="Times New Roman" w:hAnsi="Times New Roman" w:cs="Times New Roman"/>
          <w:rFonts w:ascii="Times New Roman" w:hAnsi="Times New Roman"/>
          <w:b w:val="0"/>
          <w:i w:val="0"/>
          <w:sz w:val="22"/>
        </w:rPr>
        <w:t>[9] Nasser M. Nasrabadi. Hyperspectral target detection: An overview of current and future challenges. IEEE Signal Processing Magazine, 31(1):34–44, 2014.</w:t>
      </w:r>
    </w:p>
    <w:p>
      <w:pPr>
        <w:spacing w:before="0" w:after="80" w:line="280" w:lineRule="exact"/>
        <w:ind w:left="425" w:hanging="425"/>
        <w:jc w:val="both"/>
      </w:pPr>
      <w:r>
        <w:rPr>
          <w:rFonts w:ascii="Times New Roman" w:hAnsi="Times New Roman" w:cs="Times New Roman"/>
          <w:rFonts w:ascii="Times New Roman" w:hAnsi="Times New Roman"/>
          <w:b w:val="0"/>
          <w:i w:val="0"/>
          <w:sz w:val="22"/>
        </w:rPr>
        <w:t>[10] Burak Uzkent, Aneesh Rangnekar, and Matthew J. Hoffman. Aerial vehicle tracking by adaptive fusion of hyperspectral likelihood maps. In 2017 IEEE Conference on Computer Vision and Pattern Recognition Workshops (CVPRW), pages 233–242, 2017.</w:t>
      </w:r>
    </w:p>
    <w:p>
      <w:pPr>
        <w:spacing w:before="0" w:after="80" w:line="280" w:lineRule="exact"/>
        <w:ind w:left="425" w:hanging="425"/>
        <w:jc w:val="both"/>
      </w:pPr>
      <w:r>
        <w:rPr>
          <w:rFonts w:ascii="Times New Roman" w:hAnsi="Times New Roman" w:cs="Times New Roman"/>
          <w:rFonts w:ascii="Times New Roman" w:hAnsi="Times New Roman"/>
          <w:b w:val="0"/>
          <w:i w:val="0"/>
          <w:sz w:val="22"/>
        </w:rPr>
        <w:t>[11] T. F. Chan, G. H. Golub, and R. J. LeVeque. Algorithms for computing the sample variance: Analysis and recommendations. The American Statistician, 1983.</w:t>
      </w:r>
    </w:p>
    <w:p>
      <w:pPr>
        <w:spacing w:before="0" w:after="80" w:line="280" w:lineRule="exact"/>
        <w:ind w:left="425" w:hanging="425"/>
        <w:jc w:val="both"/>
      </w:pPr>
      <w:r>
        <w:rPr>
          <w:rFonts w:ascii="Times New Roman" w:hAnsi="Times New Roman" w:cs="Times New Roman"/>
          <w:rFonts w:ascii="Times New Roman" w:hAnsi="Times New Roman"/>
          <w:b w:val="0"/>
          <w:i w:val="0"/>
          <w:sz w:val="22"/>
        </w:rPr>
        <w:t>[12] Philippe P. Pébay. Formulas for robust, one-pass parallel computation of covariances and arbitrary-order statistical moments. Technical Report SAND2008-6212, Sandia National Laboratories, 2008.</w:t>
      </w:r>
    </w:p>
    <w:p>
      <w:pPr>
        <w:spacing w:before="0" w:after="80" w:line="280" w:lineRule="exact"/>
        <w:ind w:left="425" w:hanging="425"/>
        <w:jc w:val="both"/>
      </w:pPr>
      <w:r>
        <w:rPr>
          <w:rFonts w:ascii="Times New Roman" w:hAnsi="Times New Roman" w:cs="Times New Roman"/>
          <w:rFonts w:ascii="Times New Roman" w:hAnsi="Times New Roman"/>
          <w:b w:val="0"/>
          <w:i w:val="0"/>
          <w:sz w:val="22"/>
        </w:rPr>
        <w:t>[13] NVIDIA Corporation. cuBLAS library. https://developer.nvidia.com/cublas. Accessed: 2026-04-19.</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