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spring + mvn directory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https://github.com/thymeleaf/thymeleafexamples-petclinic.git</w:t>
        </w:r>
      </w:hyperlink>
      <w:r w:rsidDel="00000000" w:rsidR="00000000" w:rsidRPr="00000000">
        <w:rPr>
          <w:rtl w:val="0"/>
        </w:rPr>
        <w:t xml:space="preserve">  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src\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assembly\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main\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java\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resources\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--- {spring.xml, logback.xml}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webapp\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--- resources\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--- --- {img, css}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--- WEB-INF\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--- --- {web.xml, thymeleaf}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test\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spring boot app found: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src\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main\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java\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resources\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--- static\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--- templates\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--- --- application.properties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 test\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pom.xml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hymeleaf/thymeleafexamples-petclinic.git" TargetMode="External"/></Relationships>
</file>