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vocab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endeavor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wiped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Speaking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Let’s talk about your home town or village.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What kind of place is it?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What’s the most interesting part of your town/village?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What kind of jobs do the people in your town/village 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Would you say it’s a good place to live? (Why?)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Let’s move on to talk about accommodation.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Tell me about the kind of accommodation you live 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How long have you lived there?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What do you like about living there?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What sort of accommodation would you most like to live 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