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192F5ED4" w14:textId="4109F509" w:rsidR="00EE0B7A"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767592" w:history="1">
            <w:r w:rsidR="00EE0B7A" w:rsidRPr="00233D31">
              <w:rPr>
                <w:rStyle w:val="Hyperlink"/>
                <w:noProof/>
              </w:rPr>
              <w:t>4.1 Zielsetzung und Abgrenzung</w:t>
            </w:r>
            <w:r w:rsidR="00EE0B7A">
              <w:rPr>
                <w:noProof/>
                <w:webHidden/>
              </w:rPr>
              <w:tab/>
            </w:r>
            <w:r w:rsidR="00EE0B7A">
              <w:rPr>
                <w:noProof/>
                <w:webHidden/>
              </w:rPr>
              <w:fldChar w:fldCharType="begin"/>
            </w:r>
            <w:r w:rsidR="00EE0B7A">
              <w:rPr>
                <w:noProof/>
                <w:webHidden/>
              </w:rPr>
              <w:instrText xml:space="preserve"> PAGEREF _Toc222767592 \h </w:instrText>
            </w:r>
            <w:r w:rsidR="00EE0B7A">
              <w:rPr>
                <w:noProof/>
                <w:webHidden/>
              </w:rPr>
            </w:r>
            <w:r w:rsidR="00EE0B7A">
              <w:rPr>
                <w:noProof/>
                <w:webHidden/>
              </w:rPr>
              <w:fldChar w:fldCharType="separate"/>
            </w:r>
            <w:r w:rsidR="00CA2418">
              <w:rPr>
                <w:noProof/>
                <w:webHidden/>
              </w:rPr>
              <w:t>2</w:t>
            </w:r>
            <w:r w:rsidR="00EE0B7A">
              <w:rPr>
                <w:noProof/>
                <w:webHidden/>
              </w:rPr>
              <w:fldChar w:fldCharType="end"/>
            </w:r>
          </w:hyperlink>
        </w:p>
        <w:p w14:paraId="49559CEB" w14:textId="6EB3BD1B" w:rsidR="00EE0B7A" w:rsidRDefault="00EE0B7A">
          <w:pPr>
            <w:pStyle w:val="Verzeichnis2"/>
            <w:tabs>
              <w:tab w:val="right" w:leader="dot" w:pos="9062"/>
            </w:tabs>
            <w:rPr>
              <w:rFonts w:eastAsiaTheme="minorEastAsia"/>
              <w:noProof/>
              <w:sz w:val="24"/>
              <w:szCs w:val="24"/>
              <w:lang w:eastAsia="de-AT"/>
            </w:rPr>
          </w:pPr>
          <w:hyperlink w:anchor="_Toc222767593" w:history="1">
            <w:r w:rsidRPr="00233D31">
              <w:rPr>
                <w:rStyle w:val="Hyperlink"/>
                <w:noProof/>
              </w:rPr>
              <w:t>4.1.1 Anforderungen an das Energiesystem</w:t>
            </w:r>
            <w:r>
              <w:rPr>
                <w:noProof/>
                <w:webHidden/>
              </w:rPr>
              <w:tab/>
            </w:r>
            <w:r>
              <w:rPr>
                <w:noProof/>
                <w:webHidden/>
              </w:rPr>
              <w:fldChar w:fldCharType="begin"/>
            </w:r>
            <w:r>
              <w:rPr>
                <w:noProof/>
                <w:webHidden/>
              </w:rPr>
              <w:instrText xml:space="preserve"> PAGEREF _Toc222767593 \h </w:instrText>
            </w:r>
            <w:r>
              <w:rPr>
                <w:noProof/>
                <w:webHidden/>
              </w:rPr>
            </w:r>
            <w:r>
              <w:rPr>
                <w:noProof/>
                <w:webHidden/>
              </w:rPr>
              <w:fldChar w:fldCharType="separate"/>
            </w:r>
            <w:r w:rsidR="00CA2418">
              <w:rPr>
                <w:noProof/>
                <w:webHidden/>
              </w:rPr>
              <w:t>3</w:t>
            </w:r>
            <w:r>
              <w:rPr>
                <w:noProof/>
                <w:webHidden/>
              </w:rPr>
              <w:fldChar w:fldCharType="end"/>
            </w:r>
          </w:hyperlink>
        </w:p>
        <w:p w14:paraId="7471BC29" w14:textId="13F1FC6A" w:rsidR="00EE0B7A" w:rsidRDefault="00EE0B7A">
          <w:pPr>
            <w:pStyle w:val="Verzeichnis1"/>
            <w:tabs>
              <w:tab w:val="right" w:leader="dot" w:pos="9062"/>
            </w:tabs>
            <w:rPr>
              <w:rFonts w:eastAsiaTheme="minorEastAsia"/>
              <w:noProof/>
              <w:sz w:val="24"/>
              <w:szCs w:val="24"/>
              <w:lang w:eastAsia="de-AT"/>
            </w:rPr>
          </w:pPr>
          <w:hyperlink w:anchor="_Toc222767594" w:history="1">
            <w:r w:rsidRPr="00233D31">
              <w:rPr>
                <w:rStyle w:val="Hyperlink"/>
                <w:noProof/>
              </w:rPr>
              <w:t>4.2 Grundlagen photovoltaischer Energieversorgung</w:t>
            </w:r>
            <w:r>
              <w:rPr>
                <w:noProof/>
                <w:webHidden/>
              </w:rPr>
              <w:tab/>
            </w:r>
            <w:r>
              <w:rPr>
                <w:noProof/>
                <w:webHidden/>
              </w:rPr>
              <w:fldChar w:fldCharType="begin"/>
            </w:r>
            <w:r>
              <w:rPr>
                <w:noProof/>
                <w:webHidden/>
              </w:rPr>
              <w:instrText xml:space="preserve"> PAGEREF _Toc222767594 \h </w:instrText>
            </w:r>
            <w:r>
              <w:rPr>
                <w:noProof/>
                <w:webHidden/>
              </w:rPr>
            </w:r>
            <w:r>
              <w:rPr>
                <w:noProof/>
                <w:webHidden/>
              </w:rPr>
              <w:fldChar w:fldCharType="separate"/>
            </w:r>
            <w:r w:rsidR="00CA2418">
              <w:rPr>
                <w:noProof/>
                <w:webHidden/>
              </w:rPr>
              <w:t>3</w:t>
            </w:r>
            <w:r>
              <w:rPr>
                <w:noProof/>
                <w:webHidden/>
              </w:rPr>
              <w:fldChar w:fldCharType="end"/>
            </w:r>
          </w:hyperlink>
        </w:p>
        <w:p w14:paraId="4A4C5419" w14:textId="09A05C7D" w:rsidR="00EE0B7A" w:rsidRDefault="00EE0B7A">
          <w:pPr>
            <w:pStyle w:val="Verzeichnis2"/>
            <w:tabs>
              <w:tab w:val="right" w:leader="dot" w:pos="9062"/>
            </w:tabs>
            <w:rPr>
              <w:rFonts w:eastAsiaTheme="minorEastAsia"/>
              <w:noProof/>
              <w:sz w:val="24"/>
              <w:szCs w:val="24"/>
              <w:lang w:eastAsia="de-AT"/>
            </w:rPr>
          </w:pPr>
          <w:hyperlink w:anchor="_Toc222767595" w:history="1">
            <w:r w:rsidRPr="00233D31">
              <w:rPr>
                <w:rStyle w:val="Hyperlink"/>
                <w:noProof/>
              </w:rPr>
              <w:t>4.2.1 Kennlinien und Maximum Power Point Tracking</w:t>
            </w:r>
            <w:r>
              <w:rPr>
                <w:noProof/>
                <w:webHidden/>
              </w:rPr>
              <w:tab/>
            </w:r>
            <w:r>
              <w:rPr>
                <w:noProof/>
                <w:webHidden/>
              </w:rPr>
              <w:fldChar w:fldCharType="begin"/>
            </w:r>
            <w:r>
              <w:rPr>
                <w:noProof/>
                <w:webHidden/>
              </w:rPr>
              <w:instrText xml:space="preserve"> PAGEREF _Toc222767595 \h </w:instrText>
            </w:r>
            <w:r>
              <w:rPr>
                <w:noProof/>
                <w:webHidden/>
              </w:rPr>
            </w:r>
            <w:r>
              <w:rPr>
                <w:noProof/>
                <w:webHidden/>
              </w:rPr>
              <w:fldChar w:fldCharType="separate"/>
            </w:r>
            <w:r w:rsidR="00CA2418">
              <w:rPr>
                <w:noProof/>
                <w:webHidden/>
              </w:rPr>
              <w:t>4</w:t>
            </w:r>
            <w:r>
              <w:rPr>
                <w:noProof/>
                <w:webHidden/>
              </w:rPr>
              <w:fldChar w:fldCharType="end"/>
            </w:r>
          </w:hyperlink>
        </w:p>
        <w:p w14:paraId="6D432FCD" w14:textId="356637C9" w:rsidR="00EE0B7A" w:rsidRDefault="00EE0B7A">
          <w:pPr>
            <w:pStyle w:val="Verzeichnis2"/>
            <w:tabs>
              <w:tab w:val="right" w:leader="dot" w:pos="9062"/>
            </w:tabs>
            <w:rPr>
              <w:rFonts w:eastAsiaTheme="minorEastAsia"/>
              <w:noProof/>
              <w:sz w:val="24"/>
              <w:szCs w:val="24"/>
              <w:lang w:eastAsia="de-AT"/>
            </w:rPr>
          </w:pPr>
          <w:hyperlink w:anchor="_Toc222767596" w:history="1">
            <w:r w:rsidRPr="00233D31">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_Toc222767596 \h </w:instrText>
            </w:r>
            <w:r>
              <w:rPr>
                <w:noProof/>
                <w:webHidden/>
              </w:rPr>
            </w:r>
            <w:r>
              <w:rPr>
                <w:noProof/>
                <w:webHidden/>
              </w:rPr>
              <w:fldChar w:fldCharType="separate"/>
            </w:r>
            <w:r w:rsidR="00CA2418">
              <w:rPr>
                <w:noProof/>
                <w:webHidden/>
              </w:rPr>
              <w:t>4</w:t>
            </w:r>
            <w:r>
              <w:rPr>
                <w:noProof/>
                <w:webHidden/>
              </w:rPr>
              <w:fldChar w:fldCharType="end"/>
            </w:r>
          </w:hyperlink>
        </w:p>
        <w:p w14:paraId="458DBAD1" w14:textId="4761F180" w:rsidR="00EE0B7A" w:rsidRDefault="00EE0B7A">
          <w:pPr>
            <w:pStyle w:val="Verzeichnis1"/>
            <w:tabs>
              <w:tab w:val="right" w:leader="dot" w:pos="9062"/>
            </w:tabs>
            <w:rPr>
              <w:rFonts w:eastAsiaTheme="minorEastAsia"/>
              <w:noProof/>
              <w:sz w:val="24"/>
              <w:szCs w:val="24"/>
              <w:lang w:eastAsia="de-AT"/>
            </w:rPr>
          </w:pPr>
          <w:hyperlink w:anchor="_Toc222767597" w:history="1">
            <w:r w:rsidRPr="00233D31">
              <w:rPr>
                <w:rStyle w:val="Hyperlink"/>
                <w:noProof/>
              </w:rPr>
              <w:t>4.3 Systemauslegung und Dimensionierung</w:t>
            </w:r>
            <w:r>
              <w:rPr>
                <w:noProof/>
                <w:webHidden/>
              </w:rPr>
              <w:tab/>
            </w:r>
            <w:r>
              <w:rPr>
                <w:noProof/>
                <w:webHidden/>
              </w:rPr>
              <w:fldChar w:fldCharType="begin"/>
            </w:r>
            <w:r>
              <w:rPr>
                <w:noProof/>
                <w:webHidden/>
              </w:rPr>
              <w:instrText xml:space="preserve"> PAGEREF _Toc222767597 \h </w:instrText>
            </w:r>
            <w:r>
              <w:rPr>
                <w:noProof/>
                <w:webHidden/>
              </w:rPr>
            </w:r>
            <w:r>
              <w:rPr>
                <w:noProof/>
                <w:webHidden/>
              </w:rPr>
              <w:fldChar w:fldCharType="separate"/>
            </w:r>
            <w:r w:rsidR="00CA2418">
              <w:rPr>
                <w:noProof/>
                <w:webHidden/>
              </w:rPr>
              <w:t>5</w:t>
            </w:r>
            <w:r>
              <w:rPr>
                <w:noProof/>
                <w:webHidden/>
              </w:rPr>
              <w:fldChar w:fldCharType="end"/>
            </w:r>
          </w:hyperlink>
        </w:p>
        <w:p w14:paraId="6944BAC4" w14:textId="5F41AD7A" w:rsidR="00EE0B7A" w:rsidRDefault="00EE0B7A">
          <w:pPr>
            <w:pStyle w:val="Verzeichnis2"/>
            <w:tabs>
              <w:tab w:val="right" w:leader="dot" w:pos="9062"/>
            </w:tabs>
            <w:rPr>
              <w:rFonts w:eastAsiaTheme="minorEastAsia"/>
              <w:noProof/>
              <w:sz w:val="24"/>
              <w:szCs w:val="24"/>
              <w:lang w:eastAsia="de-AT"/>
            </w:rPr>
          </w:pPr>
          <w:hyperlink w:anchor="_Toc222767598" w:history="1">
            <w:r w:rsidRPr="00233D31">
              <w:rPr>
                <w:rStyle w:val="Hyperlink"/>
                <w:noProof/>
              </w:rPr>
              <w:t>4.3.1 Ermittlung des Energiebedarfs</w:t>
            </w:r>
            <w:r>
              <w:rPr>
                <w:noProof/>
                <w:webHidden/>
              </w:rPr>
              <w:tab/>
            </w:r>
            <w:r>
              <w:rPr>
                <w:noProof/>
                <w:webHidden/>
              </w:rPr>
              <w:fldChar w:fldCharType="begin"/>
            </w:r>
            <w:r>
              <w:rPr>
                <w:noProof/>
                <w:webHidden/>
              </w:rPr>
              <w:instrText xml:space="preserve"> PAGEREF _Toc222767598 \h </w:instrText>
            </w:r>
            <w:r>
              <w:rPr>
                <w:noProof/>
                <w:webHidden/>
              </w:rPr>
            </w:r>
            <w:r>
              <w:rPr>
                <w:noProof/>
                <w:webHidden/>
              </w:rPr>
              <w:fldChar w:fldCharType="separate"/>
            </w:r>
            <w:r w:rsidR="00CA2418">
              <w:rPr>
                <w:noProof/>
                <w:webHidden/>
              </w:rPr>
              <w:t>5</w:t>
            </w:r>
            <w:r>
              <w:rPr>
                <w:noProof/>
                <w:webHidden/>
              </w:rPr>
              <w:fldChar w:fldCharType="end"/>
            </w:r>
          </w:hyperlink>
        </w:p>
        <w:p w14:paraId="0CBDDF0D" w14:textId="704D7354" w:rsidR="00EE0B7A" w:rsidRDefault="00EE0B7A">
          <w:pPr>
            <w:pStyle w:val="Verzeichnis2"/>
            <w:tabs>
              <w:tab w:val="right" w:leader="dot" w:pos="9062"/>
            </w:tabs>
            <w:rPr>
              <w:rFonts w:eastAsiaTheme="minorEastAsia"/>
              <w:noProof/>
              <w:sz w:val="24"/>
              <w:szCs w:val="24"/>
              <w:lang w:eastAsia="de-AT"/>
            </w:rPr>
          </w:pPr>
          <w:hyperlink w:anchor="_Toc222767599" w:history="1">
            <w:r w:rsidRPr="00233D31">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_Toc222767599 \h </w:instrText>
            </w:r>
            <w:r>
              <w:rPr>
                <w:noProof/>
                <w:webHidden/>
              </w:rPr>
            </w:r>
            <w:r>
              <w:rPr>
                <w:noProof/>
                <w:webHidden/>
              </w:rPr>
              <w:fldChar w:fldCharType="separate"/>
            </w:r>
            <w:r w:rsidR="00CA2418">
              <w:rPr>
                <w:noProof/>
                <w:webHidden/>
              </w:rPr>
              <w:t>6</w:t>
            </w:r>
            <w:r>
              <w:rPr>
                <w:noProof/>
                <w:webHidden/>
              </w:rPr>
              <w:fldChar w:fldCharType="end"/>
            </w:r>
          </w:hyperlink>
        </w:p>
        <w:p w14:paraId="6B22B423" w14:textId="668837EF" w:rsidR="00EE0B7A" w:rsidRDefault="00EE0B7A">
          <w:pPr>
            <w:pStyle w:val="Verzeichnis2"/>
            <w:tabs>
              <w:tab w:val="right" w:leader="dot" w:pos="9062"/>
            </w:tabs>
            <w:rPr>
              <w:rFonts w:eastAsiaTheme="minorEastAsia"/>
              <w:noProof/>
              <w:sz w:val="24"/>
              <w:szCs w:val="24"/>
              <w:lang w:eastAsia="de-AT"/>
            </w:rPr>
          </w:pPr>
          <w:hyperlink w:anchor="_Toc222767600" w:history="1">
            <w:r w:rsidRPr="00233D31">
              <w:rPr>
                <w:rStyle w:val="Hyperlink"/>
                <w:noProof/>
              </w:rPr>
              <w:t>4.3.3 Autonomiezeit und Worst-Case-Betrachtung</w:t>
            </w:r>
            <w:r>
              <w:rPr>
                <w:noProof/>
                <w:webHidden/>
              </w:rPr>
              <w:tab/>
            </w:r>
            <w:r>
              <w:rPr>
                <w:noProof/>
                <w:webHidden/>
              </w:rPr>
              <w:fldChar w:fldCharType="begin"/>
            </w:r>
            <w:r>
              <w:rPr>
                <w:noProof/>
                <w:webHidden/>
              </w:rPr>
              <w:instrText xml:space="preserve"> PAGEREF _Toc222767600 \h </w:instrText>
            </w:r>
            <w:r>
              <w:rPr>
                <w:noProof/>
                <w:webHidden/>
              </w:rPr>
            </w:r>
            <w:r>
              <w:rPr>
                <w:noProof/>
                <w:webHidden/>
              </w:rPr>
              <w:fldChar w:fldCharType="separate"/>
            </w:r>
            <w:r w:rsidR="00CA2418">
              <w:rPr>
                <w:noProof/>
                <w:webHidden/>
              </w:rPr>
              <w:t>6</w:t>
            </w:r>
            <w:r>
              <w:rPr>
                <w:noProof/>
                <w:webHidden/>
              </w:rPr>
              <w:fldChar w:fldCharType="end"/>
            </w:r>
          </w:hyperlink>
        </w:p>
        <w:p w14:paraId="2D658852" w14:textId="540229DD" w:rsidR="00EE0B7A" w:rsidRDefault="00EE0B7A">
          <w:pPr>
            <w:pStyle w:val="Verzeichnis1"/>
            <w:tabs>
              <w:tab w:val="right" w:leader="dot" w:pos="9062"/>
            </w:tabs>
            <w:rPr>
              <w:rFonts w:eastAsiaTheme="minorEastAsia"/>
              <w:noProof/>
              <w:sz w:val="24"/>
              <w:szCs w:val="24"/>
              <w:lang w:eastAsia="de-AT"/>
            </w:rPr>
          </w:pPr>
          <w:hyperlink w:anchor="_Toc222767601" w:history="1">
            <w:r w:rsidRPr="00233D31">
              <w:rPr>
                <w:rStyle w:val="Hyperlink"/>
                <w:noProof/>
              </w:rPr>
              <w:t>4.4 Auswahl der Systemkomponenten</w:t>
            </w:r>
            <w:r>
              <w:rPr>
                <w:noProof/>
                <w:webHidden/>
              </w:rPr>
              <w:tab/>
            </w:r>
            <w:r>
              <w:rPr>
                <w:noProof/>
                <w:webHidden/>
              </w:rPr>
              <w:fldChar w:fldCharType="begin"/>
            </w:r>
            <w:r>
              <w:rPr>
                <w:noProof/>
                <w:webHidden/>
              </w:rPr>
              <w:instrText xml:space="preserve"> PAGEREF _Toc222767601 \h </w:instrText>
            </w:r>
            <w:r>
              <w:rPr>
                <w:noProof/>
                <w:webHidden/>
              </w:rPr>
            </w:r>
            <w:r>
              <w:rPr>
                <w:noProof/>
                <w:webHidden/>
              </w:rPr>
              <w:fldChar w:fldCharType="separate"/>
            </w:r>
            <w:r w:rsidR="00CA2418">
              <w:rPr>
                <w:noProof/>
                <w:webHidden/>
              </w:rPr>
              <w:t>7</w:t>
            </w:r>
            <w:r>
              <w:rPr>
                <w:noProof/>
                <w:webHidden/>
              </w:rPr>
              <w:fldChar w:fldCharType="end"/>
            </w:r>
          </w:hyperlink>
        </w:p>
        <w:p w14:paraId="2B2B70F5" w14:textId="7277C733" w:rsidR="00EE0B7A" w:rsidRDefault="00EE0B7A">
          <w:pPr>
            <w:pStyle w:val="Verzeichnis2"/>
            <w:tabs>
              <w:tab w:val="right" w:leader="dot" w:pos="9062"/>
            </w:tabs>
            <w:rPr>
              <w:rFonts w:eastAsiaTheme="minorEastAsia"/>
              <w:noProof/>
              <w:sz w:val="24"/>
              <w:szCs w:val="24"/>
              <w:lang w:eastAsia="de-AT"/>
            </w:rPr>
          </w:pPr>
          <w:hyperlink w:anchor="_Toc222767602" w:history="1">
            <w:r w:rsidRPr="00233D31">
              <w:rPr>
                <w:rStyle w:val="Hyperlink"/>
                <w:noProof/>
              </w:rPr>
              <w:t>4.4.1 PV-Modul enjoysolar 180</w:t>
            </w:r>
            <w:r w:rsidRPr="00233D31">
              <w:rPr>
                <w:rStyle w:val="Hyperlink"/>
                <w:rFonts w:cs="Arial"/>
                <w:noProof/>
              </w:rPr>
              <w:t> </w:t>
            </w:r>
            <w:r w:rsidRPr="00233D31">
              <w:rPr>
                <w:rStyle w:val="Hyperlink"/>
                <w:noProof/>
              </w:rPr>
              <w:t>W 12</w:t>
            </w:r>
            <w:r w:rsidRPr="00233D31">
              <w:rPr>
                <w:rStyle w:val="Hyperlink"/>
                <w:rFonts w:cs="Arial"/>
                <w:noProof/>
              </w:rPr>
              <w:t> </w:t>
            </w:r>
            <w:r w:rsidRPr="00233D31">
              <w:rPr>
                <w:rStyle w:val="Hyperlink"/>
                <w:noProof/>
              </w:rPr>
              <w:t>V</w:t>
            </w:r>
            <w:r>
              <w:rPr>
                <w:noProof/>
                <w:webHidden/>
              </w:rPr>
              <w:tab/>
            </w:r>
            <w:r>
              <w:rPr>
                <w:noProof/>
                <w:webHidden/>
              </w:rPr>
              <w:fldChar w:fldCharType="begin"/>
            </w:r>
            <w:r>
              <w:rPr>
                <w:noProof/>
                <w:webHidden/>
              </w:rPr>
              <w:instrText xml:space="preserve"> PAGEREF _Toc222767602 \h </w:instrText>
            </w:r>
            <w:r>
              <w:rPr>
                <w:noProof/>
                <w:webHidden/>
              </w:rPr>
            </w:r>
            <w:r>
              <w:rPr>
                <w:noProof/>
                <w:webHidden/>
              </w:rPr>
              <w:fldChar w:fldCharType="separate"/>
            </w:r>
            <w:r w:rsidR="00CA2418">
              <w:rPr>
                <w:noProof/>
                <w:webHidden/>
              </w:rPr>
              <w:t>7</w:t>
            </w:r>
            <w:r>
              <w:rPr>
                <w:noProof/>
                <w:webHidden/>
              </w:rPr>
              <w:fldChar w:fldCharType="end"/>
            </w:r>
          </w:hyperlink>
        </w:p>
        <w:p w14:paraId="3C991F33" w14:textId="477B3BC0" w:rsidR="00EE0B7A" w:rsidRDefault="00EE0B7A">
          <w:pPr>
            <w:pStyle w:val="Verzeichnis2"/>
            <w:tabs>
              <w:tab w:val="right" w:leader="dot" w:pos="9062"/>
            </w:tabs>
            <w:rPr>
              <w:rFonts w:eastAsiaTheme="minorEastAsia"/>
              <w:noProof/>
              <w:sz w:val="24"/>
              <w:szCs w:val="24"/>
              <w:lang w:eastAsia="de-AT"/>
            </w:rPr>
          </w:pPr>
          <w:hyperlink w:anchor="_Toc222767603" w:history="1">
            <w:r w:rsidRPr="00233D31">
              <w:rPr>
                <w:rStyle w:val="Hyperlink"/>
                <w:noProof/>
              </w:rPr>
              <w:t>4.4.2 AGM Super Cycle Batterie 100 Ah</w:t>
            </w:r>
            <w:r>
              <w:rPr>
                <w:noProof/>
                <w:webHidden/>
              </w:rPr>
              <w:tab/>
            </w:r>
            <w:r>
              <w:rPr>
                <w:noProof/>
                <w:webHidden/>
              </w:rPr>
              <w:fldChar w:fldCharType="begin"/>
            </w:r>
            <w:r>
              <w:rPr>
                <w:noProof/>
                <w:webHidden/>
              </w:rPr>
              <w:instrText xml:space="preserve"> PAGEREF _Toc222767603 \h </w:instrText>
            </w:r>
            <w:r>
              <w:rPr>
                <w:noProof/>
                <w:webHidden/>
              </w:rPr>
            </w:r>
            <w:r>
              <w:rPr>
                <w:noProof/>
                <w:webHidden/>
              </w:rPr>
              <w:fldChar w:fldCharType="separate"/>
            </w:r>
            <w:r w:rsidR="00CA2418">
              <w:rPr>
                <w:noProof/>
                <w:webHidden/>
              </w:rPr>
              <w:t>7</w:t>
            </w:r>
            <w:r>
              <w:rPr>
                <w:noProof/>
                <w:webHidden/>
              </w:rPr>
              <w:fldChar w:fldCharType="end"/>
            </w:r>
          </w:hyperlink>
        </w:p>
        <w:p w14:paraId="594ECA35" w14:textId="4831F140" w:rsidR="00EE0B7A" w:rsidRDefault="00EE0B7A">
          <w:pPr>
            <w:pStyle w:val="Verzeichnis2"/>
            <w:tabs>
              <w:tab w:val="right" w:leader="dot" w:pos="9062"/>
            </w:tabs>
            <w:rPr>
              <w:rFonts w:eastAsiaTheme="minorEastAsia"/>
              <w:noProof/>
              <w:sz w:val="24"/>
              <w:szCs w:val="24"/>
              <w:lang w:eastAsia="de-AT"/>
            </w:rPr>
          </w:pPr>
          <w:hyperlink w:anchor="_Toc222767604" w:history="1">
            <w:r w:rsidRPr="00233D31">
              <w:rPr>
                <w:rStyle w:val="Hyperlink"/>
                <w:noProof/>
              </w:rPr>
              <w:t>4.4.3 Victron MultiPlus 12/800</w:t>
            </w:r>
            <w:r>
              <w:rPr>
                <w:noProof/>
                <w:webHidden/>
              </w:rPr>
              <w:tab/>
            </w:r>
            <w:r>
              <w:rPr>
                <w:noProof/>
                <w:webHidden/>
              </w:rPr>
              <w:fldChar w:fldCharType="begin"/>
            </w:r>
            <w:r>
              <w:rPr>
                <w:noProof/>
                <w:webHidden/>
              </w:rPr>
              <w:instrText xml:space="preserve"> PAGEREF _Toc222767604 \h </w:instrText>
            </w:r>
            <w:r>
              <w:rPr>
                <w:noProof/>
                <w:webHidden/>
              </w:rPr>
            </w:r>
            <w:r>
              <w:rPr>
                <w:noProof/>
                <w:webHidden/>
              </w:rPr>
              <w:fldChar w:fldCharType="separate"/>
            </w:r>
            <w:r w:rsidR="00CA2418">
              <w:rPr>
                <w:noProof/>
                <w:webHidden/>
              </w:rPr>
              <w:t>8</w:t>
            </w:r>
            <w:r>
              <w:rPr>
                <w:noProof/>
                <w:webHidden/>
              </w:rPr>
              <w:fldChar w:fldCharType="end"/>
            </w:r>
          </w:hyperlink>
        </w:p>
        <w:p w14:paraId="3EB0358F" w14:textId="2220E10D" w:rsidR="00EE0B7A" w:rsidRDefault="00EE0B7A">
          <w:pPr>
            <w:pStyle w:val="Verzeichnis2"/>
            <w:tabs>
              <w:tab w:val="right" w:leader="dot" w:pos="9062"/>
            </w:tabs>
            <w:rPr>
              <w:rFonts w:eastAsiaTheme="minorEastAsia"/>
              <w:noProof/>
              <w:sz w:val="24"/>
              <w:szCs w:val="24"/>
              <w:lang w:eastAsia="de-AT"/>
            </w:rPr>
          </w:pPr>
          <w:hyperlink w:anchor="_Toc222767605" w:history="1">
            <w:r w:rsidRPr="00233D31">
              <w:rPr>
                <w:rStyle w:val="Hyperlink"/>
                <w:noProof/>
              </w:rPr>
              <w:t>4.4.4 Victron SmartShunt 500</w:t>
            </w:r>
            <w:r w:rsidRPr="00233D31">
              <w:rPr>
                <w:rStyle w:val="Hyperlink"/>
                <w:rFonts w:ascii="Arial" w:hAnsi="Arial" w:cs="Arial"/>
                <w:noProof/>
              </w:rPr>
              <w:t> </w:t>
            </w:r>
            <w:r w:rsidRPr="00233D31">
              <w:rPr>
                <w:rStyle w:val="Hyperlink"/>
                <w:noProof/>
              </w:rPr>
              <w:t>A</w:t>
            </w:r>
            <w:r>
              <w:rPr>
                <w:noProof/>
                <w:webHidden/>
              </w:rPr>
              <w:tab/>
            </w:r>
            <w:r>
              <w:rPr>
                <w:noProof/>
                <w:webHidden/>
              </w:rPr>
              <w:fldChar w:fldCharType="begin"/>
            </w:r>
            <w:r>
              <w:rPr>
                <w:noProof/>
                <w:webHidden/>
              </w:rPr>
              <w:instrText xml:space="preserve"> PAGEREF _Toc222767605 \h </w:instrText>
            </w:r>
            <w:r>
              <w:rPr>
                <w:noProof/>
                <w:webHidden/>
              </w:rPr>
            </w:r>
            <w:r>
              <w:rPr>
                <w:noProof/>
                <w:webHidden/>
              </w:rPr>
              <w:fldChar w:fldCharType="separate"/>
            </w:r>
            <w:r w:rsidR="00CA2418">
              <w:rPr>
                <w:noProof/>
                <w:webHidden/>
              </w:rPr>
              <w:t>8</w:t>
            </w:r>
            <w:r>
              <w:rPr>
                <w:noProof/>
                <w:webHidden/>
              </w:rPr>
              <w:fldChar w:fldCharType="end"/>
            </w:r>
          </w:hyperlink>
        </w:p>
        <w:p w14:paraId="090394C8" w14:textId="0D9965F6" w:rsidR="00EE0B7A" w:rsidRDefault="00EE0B7A">
          <w:pPr>
            <w:pStyle w:val="Verzeichnis2"/>
            <w:tabs>
              <w:tab w:val="right" w:leader="dot" w:pos="9062"/>
            </w:tabs>
            <w:rPr>
              <w:rFonts w:eastAsiaTheme="minorEastAsia"/>
              <w:noProof/>
              <w:sz w:val="24"/>
              <w:szCs w:val="24"/>
              <w:lang w:eastAsia="de-AT"/>
            </w:rPr>
          </w:pPr>
          <w:hyperlink w:anchor="_Toc222767606" w:history="1">
            <w:r w:rsidRPr="00233D31">
              <w:rPr>
                <w:rStyle w:val="Hyperlink"/>
                <w:noProof/>
              </w:rPr>
              <w:t>4.4.5 Victron Orion 12/12-18</w:t>
            </w:r>
            <w:r>
              <w:rPr>
                <w:noProof/>
                <w:webHidden/>
              </w:rPr>
              <w:tab/>
            </w:r>
            <w:r>
              <w:rPr>
                <w:noProof/>
                <w:webHidden/>
              </w:rPr>
              <w:fldChar w:fldCharType="begin"/>
            </w:r>
            <w:r>
              <w:rPr>
                <w:noProof/>
                <w:webHidden/>
              </w:rPr>
              <w:instrText xml:space="preserve"> PAGEREF _Toc222767606 \h </w:instrText>
            </w:r>
            <w:r>
              <w:rPr>
                <w:noProof/>
                <w:webHidden/>
              </w:rPr>
            </w:r>
            <w:r>
              <w:rPr>
                <w:noProof/>
                <w:webHidden/>
              </w:rPr>
              <w:fldChar w:fldCharType="separate"/>
            </w:r>
            <w:r w:rsidR="00CA2418">
              <w:rPr>
                <w:noProof/>
                <w:webHidden/>
              </w:rPr>
              <w:t>8</w:t>
            </w:r>
            <w:r>
              <w:rPr>
                <w:noProof/>
                <w:webHidden/>
              </w:rPr>
              <w:fldChar w:fldCharType="end"/>
            </w:r>
          </w:hyperlink>
        </w:p>
        <w:p w14:paraId="696F6A5C" w14:textId="1F678EF4" w:rsidR="00EE0B7A" w:rsidRDefault="00EE0B7A">
          <w:pPr>
            <w:pStyle w:val="Verzeichnis2"/>
            <w:tabs>
              <w:tab w:val="right" w:leader="dot" w:pos="9062"/>
            </w:tabs>
            <w:rPr>
              <w:rFonts w:eastAsiaTheme="minorEastAsia"/>
              <w:noProof/>
              <w:sz w:val="24"/>
              <w:szCs w:val="24"/>
              <w:lang w:eastAsia="de-AT"/>
            </w:rPr>
          </w:pPr>
          <w:hyperlink w:anchor="_Toc222767607" w:history="1">
            <w:r w:rsidRPr="00233D31">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_Toc222767607 \h </w:instrText>
            </w:r>
            <w:r>
              <w:rPr>
                <w:noProof/>
                <w:webHidden/>
              </w:rPr>
            </w:r>
            <w:r>
              <w:rPr>
                <w:noProof/>
                <w:webHidden/>
              </w:rPr>
              <w:fldChar w:fldCharType="separate"/>
            </w:r>
            <w:r w:rsidR="00CA2418">
              <w:rPr>
                <w:noProof/>
                <w:webHidden/>
              </w:rPr>
              <w:t>8</w:t>
            </w:r>
            <w:r>
              <w:rPr>
                <w:noProof/>
                <w:webHidden/>
              </w:rPr>
              <w:fldChar w:fldCharType="end"/>
            </w:r>
          </w:hyperlink>
        </w:p>
        <w:p w14:paraId="725043FB" w14:textId="5D07E1FB" w:rsidR="00EE0B7A" w:rsidRDefault="00EE0B7A">
          <w:pPr>
            <w:pStyle w:val="Verzeichnis2"/>
            <w:tabs>
              <w:tab w:val="right" w:leader="dot" w:pos="9062"/>
            </w:tabs>
            <w:rPr>
              <w:rFonts w:eastAsiaTheme="minorEastAsia"/>
              <w:noProof/>
              <w:sz w:val="24"/>
              <w:szCs w:val="24"/>
              <w:lang w:eastAsia="de-AT"/>
            </w:rPr>
          </w:pPr>
          <w:hyperlink w:anchor="_Toc222767608" w:history="1">
            <w:r w:rsidRPr="00233D31">
              <w:rPr>
                <w:rStyle w:val="Hyperlink"/>
                <w:noProof/>
              </w:rPr>
              <w:t>4.4.7 Verkabelung und Absicherung</w:t>
            </w:r>
            <w:r>
              <w:rPr>
                <w:noProof/>
                <w:webHidden/>
              </w:rPr>
              <w:tab/>
            </w:r>
            <w:r>
              <w:rPr>
                <w:noProof/>
                <w:webHidden/>
              </w:rPr>
              <w:fldChar w:fldCharType="begin"/>
            </w:r>
            <w:r>
              <w:rPr>
                <w:noProof/>
                <w:webHidden/>
              </w:rPr>
              <w:instrText xml:space="preserve"> PAGEREF _Toc222767608 \h </w:instrText>
            </w:r>
            <w:r>
              <w:rPr>
                <w:noProof/>
                <w:webHidden/>
              </w:rPr>
            </w:r>
            <w:r>
              <w:rPr>
                <w:noProof/>
                <w:webHidden/>
              </w:rPr>
              <w:fldChar w:fldCharType="separate"/>
            </w:r>
            <w:r w:rsidR="00CA2418">
              <w:rPr>
                <w:noProof/>
                <w:webHidden/>
              </w:rPr>
              <w:t>8</w:t>
            </w:r>
            <w:r>
              <w:rPr>
                <w:noProof/>
                <w:webHidden/>
              </w:rPr>
              <w:fldChar w:fldCharType="end"/>
            </w:r>
          </w:hyperlink>
        </w:p>
        <w:p w14:paraId="0C4CD7FE" w14:textId="34E0E149" w:rsidR="00EE0B7A" w:rsidRDefault="00EE0B7A">
          <w:pPr>
            <w:pStyle w:val="Verzeichnis1"/>
            <w:tabs>
              <w:tab w:val="right" w:leader="dot" w:pos="9062"/>
            </w:tabs>
            <w:rPr>
              <w:rFonts w:eastAsiaTheme="minorEastAsia"/>
              <w:noProof/>
              <w:sz w:val="24"/>
              <w:szCs w:val="24"/>
              <w:lang w:eastAsia="de-AT"/>
            </w:rPr>
          </w:pPr>
          <w:hyperlink w:anchor="_Toc222767609" w:history="1">
            <w:r w:rsidRPr="00233D31">
              <w:rPr>
                <w:rStyle w:val="Hyperlink"/>
                <w:noProof/>
              </w:rPr>
              <w:t>4.5 Batterietechnologien im Vergleich</w:t>
            </w:r>
            <w:r>
              <w:rPr>
                <w:noProof/>
                <w:webHidden/>
              </w:rPr>
              <w:tab/>
            </w:r>
            <w:r>
              <w:rPr>
                <w:noProof/>
                <w:webHidden/>
              </w:rPr>
              <w:fldChar w:fldCharType="begin"/>
            </w:r>
            <w:r>
              <w:rPr>
                <w:noProof/>
                <w:webHidden/>
              </w:rPr>
              <w:instrText xml:space="preserve"> PAGEREF _Toc222767609 \h </w:instrText>
            </w:r>
            <w:r>
              <w:rPr>
                <w:noProof/>
                <w:webHidden/>
              </w:rPr>
            </w:r>
            <w:r>
              <w:rPr>
                <w:noProof/>
                <w:webHidden/>
              </w:rPr>
              <w:fldChar w:fldCharType="separate"/>
            </w:r>
            <w:r w:rsidR="00CA2418">
              <w:rPr>
                <w:noProof/>
                <w:webHidden/>
              </w:rPr>
              <w:t>9</w:t>
            </w:r>
            <w:r>
              <w:rPr>
                <w:noProof/>
                <w:webHidden/>
              </w:rPr>
              <w:fldChar w:fldCharType="end"/>
            </w:r>
          </w:hyperlink>
        </w:p>
        <w:p w14:paraId="7B06DCA6" w14:textId="6188C733" w:rsidR="00EE0B7A" w:rsidRDefault="00EE0B7A">
          <w:pPr>
            <w:pStyle w:val="Verzeichnis2"/>
            <w:tabs>
              <w:tab w:val="right" w:leader="dot" w:pos="9062"/>
            </w:tabs>
            <w:rPr>
              <w:rFonts w:eastAsiaTheme="minorEastAsia"/>
              <w:noProof/>
              <w:sz w:val="24"/>
              <w:szCs w:val="24"/>
              <w:lang w:eastAsia="de-AT"/>
            </w:rPr>
          </w:pPr>
          <w:hyperlink w:anchor="_Toc222767610" w:history="1">
            <w:r w:rsidRPr="00233D31">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_Toc222767610 \h </w:instrText>
            </w:r>
            <w:r>
              <w:rPr>
                <w:noProof/>
                <w:webHidden/>
              </w:rPr>
            </w:r>
            <w:r>
              <w:rPr>
                <w:noProof/>
                <w:webHidden/>
              </w:rPr>
              <w:fldChar w:fldCharType="separate"/>
            </w:r>
            <w:r w:rsidR="00CA2418">
              <w:rPr>
                <w:noProof/>
                <w:webHidden/>
              </w:rPr>
              <w:t>9</w:t>
            </w:r>
            <w:r>
              <w:rPr>
                <w:noProof/>
                <w:webHidden/>
              </w:rPr>
              <w:fldChar w:fldCharType="end"/>
            </w:r>
          </w:hyperlink>
        </w:p>
        <w:p w14:paraId="514BC10B" w14:textId="075E8C7E" w:rsidR="00EE0B7A" w:rsidRDefault="00EE0B7A">
          <w:pPr>
            <w:pStyle w:val="Verzeichnis2"/>
            <w:tabs>
              <w:tab w:val="right" w:leader="dot" w:pos="9062"/>
            </w:tabs>
            <w:rPr>
              <w:rFonts w:eastAsiaTheme="minorEastAsia"/>
              <w:noProof/>
              <w:sz w:val="24"/>
              <w:szCs w:val="24"/>
              <w:lang w:eastAsia="de-AT"/>
            </w:rPr>
          </w:pPr>
          <w:hyperlink w:anchor="_Toc222767611" w:history="1">
            <w:r w:rsidRPr="00233D31">
              <w:rPr>
                <w:rStyle w:val="Hyperlink"/>
                <w:noProof/>
              </w:rPr>
              <w:t>4.5.2 Vergleich und Auswahlbegründung</w:t>
            </w:r>
            <w:r>
              <w:rPr>
                <w:noProof/>
                <w:webHidden/>
              </w:rPr>
              <w:tab/>
            </w:r>
            <w:r>
              <w:rPr>
                <w:noProof/>
                <w:webHidden/>
              </w:rPr>
              <w:fldChar w:fldCharType="begin"/>
            </w:r>
            <w:r>
              <w:rPr>
                <w:noProof/>
                <w:webHidden/>
              </w:rPr>
              <w:instrText xml:space="preserve"> PAGEREF _Toc222767611 \h </w:instrText>
            </w:r>
            <w:r>
              <w:rPr>
                <w:noProof/>
                <w:webHidden/>
              </w:rPr>
            </w:r>
            <w:r>
              <w:rPr>
                <w:noProof/>
                <w:webHidden/>
              </w:rPr>
              <w:fldChar w:fldCharType="separate"/>
            </w:r>
            <w:r w:rsidR="00CA2418">
              <w:rPr>
                <w:noProof/>
                <w:webHidden/>
              </w:rPr>
              <w:t>10</w:t>
            </w:r>
            <w:r>
              <w:rPr>
                <w:noProof/>
                <w:webHidden/>
              </w:rPr>
              <w:fldChar w:fldCharType="end"/>
            </w:r>
          </w:hyperlink>
        </w:p>
        <w:p w14:paraId="62399CD5" w14:textId="3108ED21" w:rsidR="00EE0B7A" w:rsidRDefault="00EE0B7A">
          <w:pPr>
            <w:pStyle w:val="Verzeichnis1"/>
            <w:tabs>
              <w:tab w:val="right" w:leader="dot" w:pos="9062"/>
            </w:tabs>
            <w:rPr>
              <w:rFonts w:eastAsiaTheme="minorEastAsia"/>
              <w:noProof/>
              <w:sz w:val="24"/>
              <w:szCs w:val="24"/>
              <w:lang w:eastAsia="de-AT"/>
            </w:rPr>
          </w:pPr>
          <w:hyperlink w:anchor="_Toc222767612" w:history="1">
            <w:r w:rsidRPr="00233D31">
              <w:rPr>
                <w:rStyle w:val="Hyperlink"/>
                <w:noProof/>
              </w:rPr>
              <w:t>4.6 Integration und Konfiguration des Victron-Energy-Monitoring-Systems</w:t>
            </w:r>
            <w:r>
              <w:rPr>
                <w:noProof/>
                <w:webHidden/>
              </w:rPr>
              <w:tab/>
            </w:r>
            <w:r>
              <w:rPr>
                <w:noProof/>
                <w:webHidden/>
              </w:rPr>
              <w:fldChar w:fldCharType="begin"/>
            </w:r>
            <w:r>
              <w:rPr>
                <w:noProof/>
                <w:webHidden/>
              </w:rPr>
              <w:instrText xml:space="preserve"> PAGEREF _Toc222767612 \h </w:instrText>
            </w:r>
            <w:r>
              <w:rPr>
                <w:noProof/>
                <w:webHidden/>
              </w:rPr>
            </w:r>
            <w:r>
              <w:rPr>
                <w:noProof/>
                <w:webHidden/>
              </w:rPr>
              <w:fldChar w:fldCharType="separate"/>
            </w:r>
            <w:r w:rsidR="00CA2418">
              <w:rPr>
                <w:noProof/>
                <w:webHidden/>
              </w:rPr>
              <w:t>11</w:t>
            </w:r>
            <w:r>
              <w:rPr>
                <w:noProof/>
                <w:webHidden/>
              </w:rPr>
              <w:fldChar w:fldCharType="end"/>
            </w:r>
          </w:hyperlink>
        </w:p>
        <w:p w14:paraId="57428F6A" w14:textId="7CEEBFA3" w:rsidR="00EE0B7A" w:rsidRDefault="00EE0B7A">
          <w:pPr>
            <w:pStyle w:val="Verzeichnis2"/>
            <w:tabs>
              <w:tab w:val="right" w:leader="dot" w:pos="9062"/>
            </w:tabs>
            <w:rPr>
              <w:rFonts w:eastAsiaTheme="minorEastAsia"/>
              <w:noProof/>
              <w:sz w:val="24"/>
              <w:szCs w:val="24"/>
              <w:lang w:eastAsia="de-AT"/>
            </w:rPr>
          </w:pPr>
          <w:hyperlink w:anchor="_Toc222767613" w:history="1">
            <w:r w:rsidRPr="00233D31">
              <w:rPr>
                <w:rStyle w:val="Hyperlink"/>
                <w:noProof/>
              </w:rPr>
              <w:t>4.6.1 Systemarchitektur und Kommunikationsschnittstellen</w:t>
            </w:r>
            <w:r>
              <w:rPr>
                <w:noProof/>
                <w:webHidden/>
              </w:rPr>
              <w:tab/>
            </w:r>
            <w:r>
              <w:rPr>
                <w:noProof/>
                <w:webHidden/>
              </w:rPr>
              <w:fldChar w:fldCharType="begin"/>
            </w:r>
            <w:r>
              <w:rPr>
                <w:noProof/>
                <w:webHidden/>
              </w:rPr>
              <w:instrText xml:space="preserve"> PAGEREF _Toc222767613 \h </w:instrText>
            </w:r>
            <w:r>
              <w:rPr>
                <w:noProof/>
                <w:webHidden/>
              </w:rPr>
            </w:r>
            <w:r>
              <w:rPr>
                <w:noProof/>
                <w:webHidden/>
              </w:rPr>
              <w:fldChar w:fldCharType="separate"/>
            </w:r>
            <w:r w:rsidR="00CA2418">
              <w:rPr>
                <w:noProof/>
                <w:webHidden/>
              </w:rPr>
              <w:t>11</w:t>
            </w:r>
            <w:r>
              <w:rPr>
                <w:noProof/>
                <w:webHidden/>
              </w:rPr>
              <w:fldChar w:fldCharType="end"/>
            </w:r>
          </w:hyperlink>
        </w:p>
        <w:p w14:paraId="2F84AEE6" w14:textId="5DD992F7" w:rsidR="00EE0B7A" w:rsidRDefault="00EE0B7A">
          <w:pPr>
            <w:pStyle w:val="Verzeichnis2"/>
            <w:tabs>
              <w:tab w:val="right" w:leader="dot" w:pos="9062"/>
            </w:tabs>
            <w:rPr>
              <w:rFonts w:eastAsiaTheme="minorEastAsia"/>
              <w:noProof/>
              <w:sz w:val="24"/>
              <w:szCs w:val="24"/>
              <w:lang w:eastAsia="de-AT"/>
            </w:rPr>
          </w:pPr>
          <w:hyperlink w:anchor="_Toc222767614" w:history="1">
            <w:r w:rsidRPr="00233D31">
              <w:rPr>
                <w:rStyle w:val="Hyperlink"/>
                <w:noProof/>
              </w:rPr>
              <w:t>4.6.2 Cerbo GX als zentrale Monitoring-Einheit</w:t>
            </w:r>
            <w:r>
              <w:rPr>
                <w:noProof/>
                <w:webHidden/>
              </w:rPr>
              <w:tab/>
            </w:r>
            <w:r>
              <w:rPr>
                <w:noProof/>
                <w:webHidden/>
              </w:rPr>
              <w:fldChar w:fldCharType="begin"/>
            </w:r>
            <w:r>
              <w:rPr>
                <w:noProof/>
                <w:webHidden/>
              </w:rPr>
              <w:instrText xml:space="preserve"> PAGEREF _Toc222767614 \h </w:instrText>
            </w:r>
            <w:r>
              <w:rPr>
                <w:noProof/>
                <w:webHidden/>
              </w:rPr>
            </w:r>
            <w:r>
              <w:rPr>
                <w:noProof/>
                <w:webHidden/>
              </w:rPr>
              <w:fldChar w:fldCharType="separate"/>
            </w:r>
            <w:r w:rsidR="00CA2418">
              <w:rPr>
                <w:noProof/>
                <w:webHidden/>
              </w:rPr>
              <w:t>11</w:t>
            </w:r>
            <w:r>
              <w:rPr>
                <w:noProof/>
                <w:webHidden/>
              </w:rPr>
              <w:fldChar w:fldCharType="end"/>
            </w:r>
          </w:hyperlink>
        </w:p>
        <w:p w14:paraId="10367BC8" w14:textId="259F7031" w:rsidR="00EE0B7A" w:rsidRDefault="00EE0B7A">
          <w:pPr>
            <w:pStyle w:val="Verzeichnis2"/>
            <w:tabs>
              <w:tab w:val="right" w:leader="dot" w:pos="9062"/>
            </w:tabs>
            <w:rPr>
              <w:rFonts w:eastAsiaTheme="minorEastAsia"/>
              <w:noProof/>
              <w:sz w:val="24"/>
              <w:szCs w:val="24"/>
              <w:lang w:eastAsia="de-AT"/>
            </w:rPr>
          </w:pPr>
          <w:hyperlink w:anchor="_Toc222767615" w:history="1">
            <w:r w:rsidRPr="00233D31">
              <w:rPr>
                <w:rStyle w:val="Hyperlink"/>
                <w:noProof/>
              </w:rPr>
              <w:t>4.6.3 Hardwareseitiges Lastmanagement im MultiPlus</w:t>
            </w:r>
            <w:r>
              <w:rPr>
                <w:noProof/>
                <w:webHidden/>
              </w:rPr>
              <w:tab/>
            </w:r>
            <w:r>
              <w:rPr>
                <w:noProof/>
                <w:webHidden/>
              </w:rPr>
              <w:fldChar w:fldCharType="begin"/>
            </w:r>
            <w:r>
              <w:rPr>
                <w:noProof/>
                <w:webHidden/>
              </w:rPr>
              <w:instrText xml:space="preserve"> PAGEREF _Toc222767615 \h </w:instrText>
            </w:r>
            <w:r>
              <w:rPr>
                <w:noProof/>
                <w:webHidden/>
              </w:rPr>
            </w:r>
            <w:r>
              <w:rPr>
                <w:noProof/>
                <w:webHidden/>
              </w:rPr>
              <w:fldChar w:fldCharType="separate"/>
            </w:r>
            <w:r w:rsidR="00CA2418">
              <w:rPr>
                <w:noProof/>
                <w:webHidden/>
              </w:rPr>
              <w:t>11</w:t>
            </w:r>
            <w:r>
              <w:rPr>
                <w:noProof/>
                <w:webHidden/>
              </w:rPr>
              <w:fldChar w:fldCharType="end"/>
            </w:r>
          </w:hyperlink>
        </w:p>
        <w:p w14:paraId="15377369" w14:textId="3BE8D891" w:rsidR="00EE0B7A" w:rsidRDefault="00EE0B7A">
          <w:pPr>
            <w:pStyle w:val="Verzeichnis2"/>
            <w:tabs>
              <w:tab w:val="right" w:leader="dot" w:pos="9062"/>
            </w:tabs>
            <w:rPr>
              <w:rFonts w:eastAsiaTheme="minorEastAsia"/>
              <w:noProof/>
              <w:sz w:val="24"/>
              <w:szCs w:val="24"/>
              <w:lang w:eastAsia="de-AT"/>
            </w:rPr>
          </w:pPr>
          <w:hyperlink w:anchor="_Toc222767616" w:history="1">
            <w:r w:rsidRPr="00233D31">
              <w:rPr>
                <w:rStyle w:val="Hyperlink"/>
                <w:noProof/>
              </w:rPr>
              <w:t>4.6.4 Remote-Monitoring über das VRM-Portal</w:t>
            </w:r>
            <w:r>
              <w:rPr>
                <w:noProof/>
                <w:webHidden/>
              </w:rPr>
              <w:tab/>
            </w:r>
            <w:r>
              <w:rPr>
                <w:noProof/>
                <w:webHidden/>
              </w:rPr>
              <w:fldChar w:fldCharType="begin"/>
            </w:r>
            <w:r>
              <w:rPr>
                <w:noProof/>
                <w:webHidden/>
              </w:rPr>
              <w:instrText xml:space="preserve"> PAGEREF _Toc222767616 \h </w:instrText>
            </w:r>
            <w:r>
              <w:rPr>
                <w:noProof/>
                <w:webHidden/>
              </w:rPr>
            </w:r>
            <w:r>
              <w:rPr>
                <w:noProof/>
                <w:webHidden/>
              </w:rPr>
              <w:fldChar w:fldCharType="separate"/>
            </w:r>
            <w:r w:rsidR="00CA2418">
              <w:rPr>
                <w:noProof/>
                <w:webHidden/>
              </w:rPr>
              <w:t>12</w:t>
            </w:r>
            <w:r>
              <w:rPr>
                <w:noProof/>
                <w:webHidden/>
              </w:rPr>
              <w:fldChar w:fldCharType="end"/>
            </w:r>
          </w:hyperlink>
        </w:p>
        <w:p w14:paraId="0B534F20" w14:textId="3292EE62" w:rsidR="00EE0B7A" w:rsidRDefault="00EE0B7A">
          <w:pPr>
            <w:pStyle w:val="Verzeichnis1"/>
            <w:tabs>
              <w:tab w:val="right" w:leader="dot" w:pos="9062"/>
            </w:tabs>
            <w:rPr>
              <w:rFonts w:eastAsiaTheme="minorEastAsia"/>
              <w:noProof/>
              <w:sz w:val="24"/>
              <w:szCs w:val="24"/>
              <w:lang w:eastAsia="de-AT"/>
            </w:rPr>
          </w:pPr>
          <w:hyperlink w:anchor="_Toc222767617" w:history="1">
            <w:r w:rsidRPr="00233D31">
              <w:rPr>
                <w:rStyle w:val="Hyperlink"/>
                <w:rFonts w:eastAsia="Arial"/>
                <w:noProof/>
              </w:rPr>
              <w:t>4.7 Wirtschaftliche Analyse</w:t>
            </w:r>
            <w:r>
              <w:rPr>
                <w:noProof/>
                <w:webHidden/>
              </w:rPr>
              <w:tab/>
            </w:r>
            <w:r>
              <w:rPr>
                <w:noProof/>
                <w:webHidden/>
              </w:rPr>
              <w:fldChar w:fldCharType="begin"/>
            </w:r>
            <w:r>
              <w:rPr>
                <w:noProof/>
                <w:webHidden/>
              </w:rPr>
              <w:instrText xml:space="preserve"> PAGEREF _Toc222767617 \h </w:instrText>
            </w:r>
            <w:r>
              <w:rPr>
                <w:noProof/>
                <w:webHidden/>
              </w:rPr>
            </w:r>
            <w:r>
              <w:rPr>
                <w:noProof/>
                <w:webHidden/>
              </w:rPr>
              <w:fldChar w:fldCharType="separate"/>
            </w:r>
            <w:r w:rsidR="00CA2418">
              <w:rPr>
                <w:noProof/>
                <w:webHidden/>
              </w:rPr>
              <w:t>12</w:t>
            </w:r>
            <w:r>
              <w:rPr>
                <w:noProof/>
                <w:webHidden/>
              </w:rPr>
              <w:fldChar w:fldCharType="end"/>
            </w:r>
          </w:hyperlink>
        </w:p>
        <w:p w14:paraId="160F3926" w14:textId="4B64E546" w:rsidR="00EE0B7A" w:rsidRDefault="00EE0B7A">
          <w:pPr>
            <w:pStyle w:val="Verzeichnis2"/>
            <w:tabs>
              <w:tab w:val="right" w:leader="dot" w:pos="9062"/>
            </w:tabs>
            <w:rPr>
              <w:rFonts w:eastAsiaTheme="minorEastAsia"/>
              <w:noProof/>
              <w:sz w:val="24"/>
              <w:szCs w:val="24"/>
              <w:lang w:eastAsia="de-AT"/>
            </w:rPr>
          </w:pPr>
          <w:hyperlink w:anchor="_Toc222767618" w:history="1">
            <w:r w:rsidRPr="00233D31">
              <w:rPr>
                <w:rStyle w:val="Hyperlink"/>
                <w:rFonts w:eastAsia="Arial"/>
                <w:noProof/>
              </w:rPr>
              <w:t>4.7.1 ROI-Berechnung des PV-Systems</w:t>
            </w:r>
            <w:r>
              <w:rPr>
                <w:noProof/>
                <w:webHidden/>
              </w:rPr>
              <w:tab/>
            </w:r>
            <w:r>
              <w:rPr>
                <w:noProof/>
                <w:webHidden/>
              </w:rPr>
              <w:fldChar w:fldCharType="begin"/>
            </w:r>
            <w:r>
              <w:rPr>
                <w:noProof/>
                <w:webHidden/>
              </w:rPr>
              <w:instrText xml:space="preserve"> PAGEREF _Toc222767618 \h </w:instrText>
            </w:r>
            <w:r>
              <w:rPr>
                <w:noProof/>
                <w:webHidden/>
              </w:rPr>
            </w:r>
            <w:r>
              <w:rPr>
                <w:noProof/>
                <w:webHidden/>
              </w:rPr>
              <w:fldChar w:fldCharType="separate"/>
            </w:r>
            <w:r w:rsidR="00CA2418">
              <w:rPr>
                <w:noProof/>
                <w:webHidden/>
              </w:rPr>
              <w:t>12</w:t>
            </w:r>
            <w:r>
              <w:rPr>
                <w:noProof/>
                <w:webHidden/>
              </w:rPr>
              <w:fldChar w:fldCharType="end"/>
            </w:r>
          </w:hyperlink>
        </w:p>
        <w:p w14:paraId="611014F5" w14:textId="755CBE5F" w:rsidR="00EE0B7A" w:rsidRDefault="00EE0B7A">
          <w:pPr>
            <w:pStyle w:val="Verzeichnis2"/>
            <w:tabs>
              <w:tab w:val="right" w:leader="dot" w:pos="9062"/>
            </w:tabs>
            <w:rPr>
              <w:rFonts w:eastAsiaTheme="minorEastAsia"/>
              <w:noProof/>
              <w:sz w:val="24"/>
              <w:szCs w:val="24"/>
              <w:lang w:eastAsia="de-AT"/>
            </w:rPr>
          </w:pPr>
          <w:hyperlink w:anchor="_Toc222767619" w:history="1">
            <w:r w:rsidRPr="00233D31">
              <w:rPr>
                <w:rStyle w:val="Hyperlink"/>
                <w:noProof/>
              </w:rPr>
              <w:t>4.7.2 Amortisationsrechnung und Vergleich: Insellösung versus Netzanbindung</w:t>
            </w:r>
            <w:r>
              <w:rPr>
                <w:noProof/>
                <w:webHidden/>
              </w:rPr>
              <w:tab/>
            </w:r>
            <w:r>
              <w:rPr>
                <w:noProof/>
                <w:webHidden/>
              </w:rPr>
              <w:fldChar w:fldCharType="begin"/>
            </w:r>
            <w:r>
              <w:rPr>
                <w:noProof/>
                <w:webHidden/>
              </w:rPr>
              <w:instrText xml:space="preserve"> PAGEREF _Toc222767619 \h </w:instrText>
            </w:r>
            <w:r>
              <w:rPr>
                <w:noProof/>
                <w:webHidden/>
              </w:rPr>
            </w:r>
            <w:r>
              <w:rPr>
                <w:noProof/>
                <w:webHidden/>
              </w:rPr>
              <w:fldChar w:fldCharType="separate"/>
            </w:r>
            <w:r w:rsidR="00CA2418">
              <w:rPr>
                <w:noProof/>
                <w:webHidden/>
              </w:rPr>
              <w:t>13</w:t>
            </w:r>
            <w:r>
              <w:rPr>
                <w:noProof/>
                <w:webHidden/>
              </w:rPr>
              <w:fldChar w:fldCharType="end"/>
            </w:r>
          </w:hyperlink>
        </w:p>
        <w:p w14:paraId="4100F703" w14:textId="5D8549D0" w:rsidR="00EE0B7A" w:rsidRDefault="00EE0B7A">
          <w:pPr>
            <w:pStyle w:val="Verzeichnis2"/>
            <w:tabs>
              <w:tab w:val="right" w:leader="dot" w:pos="9062"/>
            </w:tabs>
            <w:rPr>
              <w:rFonts w:eastAsiaTheme="minorEastAsia"/>
              <w:noProof/>
              <w:sz w:val="24"/>
              <w:szCs w:val="24"/>
              <w:lang w:eastAsia="de-AT"/>
            </w:rPr>
          </w:pPr>
          <w:hyperlink w:anchor="_Toc222767620" w:history="1">
            <w:r w:rsidRPr="00233D31">
              <w:rPr>
                <w:rStyle w:val="Hyperlink"/>
                <w:noProof/>
              </w:rPr>
              <w:t>4.7.3 Betriebskosten und Wirtschaftlichkeitsbewertung</w:t>
            </w:r>
            <w:r>
              <w:rPr>
                <w:noProof/>
                <w:webHidden/>
              </w:rPr>
              <w:tab/>
            </w:r>
            <w:r>
              <w:rPr>
                <w:noProof/>
                <w:webHidden/>
              </w:rPr>
              <w:fldChar w:fldCharType="begin"/>
            </w:r>
            <w:r>
              <w:rPr>
                <w:noProof/>
                <w:webHidden/>
              </w:rPr>
              <w:instrText xml:space="preserve"> PAGEREF _Toc222767620 \h </w:instrText>
            </w:r>
            <w:r>
              <w:rPr>
                <w:noProof/>
                <w:webHidden/>
              </w:rPr>
            </w:r>
            <w:r>
              <w:rPr>
                <w:noProof/>
                <w:webHidden/>
              </w:rPr>
              <w:fldChar w:fldCharType="separate"/>
            </w:r>
            <w:r w:rsidR="00CA2418">
              <w:rPr>
                <w:noProof/>
                <w:webHidden/>
              </w:rPr>
              <w:t>14</w:t>
            </w:r>
            <w:r>
              <w:rPr>
                <w:noProof/>
                <w:webHidden/>
              </w:rPr>
              <w:fldChar w:fldCharType="end"/>
            </w:r>
          </w:hyperlink>
        </w:p>
        <w:p w14:paraId="5D10F92B" w14:textId="52DE667E" w:rsidR="00EE0B7A" w:rsidRDefault="00EE0B7A">
          <w:pPr>
            <w:pStyle w:val="Verzeichnis1"/>
            <w:tabs>
              <w:tab w:val="right" w:leader="dot" w:pos="9062"/>
            </w:tabs>
            <w:rPr>
              <w:rFonts w:eastAsiaTheme="minorEastAsia"/>
              <w:noProof/>
              <w:sz w:val="24"/>
              <w:szCs w:val="24"/>
              <w:lang w:eastAsia="de-AT"/>
            </w:rPr>
          </w:pPr>
          <w:hyperlink w:anchor="_Toc222767621" w:history="1">
            <w:r w:rsidRPr="00233D31">
              <w:rPr>
                <w:rStyle w:val="Hyperlink"/>
                <w:noProof/>
              </w:rPr>
              <w:t>4.8 Elektrische Planung</w:t>
            </w:r>
            <w:r>
              <w:rPr>
                <w:noProof/>
                <w:webHidden/>
              </w:rPr>
              <w:tab/>
            </w:r>
            <w:r>
              <w:rPr>
                <w:noProof/>
                <w:webHidden/>
              </w:rPr>
              <w:fldChar w:fldCharType="begin"/>
            </w:r>
            <w:r>
              <w:rPr>
                <w:noProof/>
                <w:webHidden/>
              </w:rPr>
              <w:instrText xml:space="preserve"> PAGEREF _Toc222767621 \h </w:instrText>
            </w:r>
            <w:r>
              <w:rPr>
                <w:noProof/>
                <w:webHidden/>
              </w:rPr>
            </w:r>
            <w:r>
              <w:rPr>
                <w:noProof/>
                <w:webHidden/>
              </w:rPr>
              <w:fldChar w:fldCharType="separate"/>
            </w:r>
            <w:r w:rsidR="00CA2418">
              <w:rPr>
                <w:noProof/>
                <w:webHidden/>
              </w:rPr>
              <w:t>15</w:t>
            </w:r>
            <w:r>
              <w:rPr>
                <w:noProof/>
                <w:webHidden/>
              </w:rPr>
              <w:fldChar w:fldCharType="end"/>
            </w:r>
          </w:hyperlink>
        </w:p>
        <w:p w14:paraId="6F33C09B" w14:textId="06B864F4" w:rsidR="00EE0B7A" w:rsidRDefault="00EE0B7A">
          <w:pPr>
            <w:pStyle w:val="Verzeichnis2"/>
            <w:tabs>
              <w:tab w:val="right" w:leader="dot" w:pos="9062"/>
            </w:tabs>
            <w:rPr>
              <w:rFonts w:eastAsiaTheme="minorEastAsia"/>
              <w:noProof/>
              <w:sz w:val="24"/>
              <w:szCs w:val="24"/>
              <w:lang w:eastAsia="de-AT"/>
            </w:rPr>
          </w:pPr>
          <w:hyperlink w:anchor="_Toc222767622" w:history="1">
            <w:r w:rsidRPr="00233D31">
              <w:rPr>
                <w:rStyle w:val="Hyperlink"/>
                <w:noProof/>
              </w:rPr>
              <w:t>4.8.1 Systemaufbau und Energiepfad</w:t>
            </w:r>
            <w:r>
              <w:rPr>
                <w:noProof/>
                <w:webHidden/>
              </w:rPr>
              <w:tab/>
            </w:r>
            <w:r>
              <w:rPr>
                <w:noProof/>
                <w:webHidden/>
              </w:rPr>
              <w:fldChar w:fldCharType="begin"/>
            </w:r>
            <w:r>
              <w:rPr>
                <w:noProof/>
                <w:webHidden/>
              </w:rPr>
              <w:instrText xml:space="preserve"> PAGEREF _Toc222767622 \h </w:instrText>
            </w:r>
            <w:r>
              <w:rPr>
                <w:noProof/>
                <w:webHidden/>
              </w:rPr>
            </w:r>
            <w:r>
              <w:rPr>
                <w:noProof/>
                <w:webHidden/>
              </w:rPr>
              <w:fldChar w:fldCharType="separate"/>
            </w:r>
            <w:r w:rsidR="00CA2418">
              <w:rPr>
                <w:noProof/>
                <w:webHidden/>
              </w:rPr>
              <w:t>15</w:t>
            </w:r>
            <w:r>
              <w:rPr>
                <w:noProof/>
                <w:webHidden/>
              </w:rPr>
              <w:fldChar w:fldCharType="end"/>
            </w:r>
          </w:hyperlink>
        </w:p>
        <w:p w14:paraId="2F710048" w14:textId="50AF4850" w:rsidR="00EE0B7A" w:rsidRDefault="00EE0B7A">
          <w:pPr>
            <w:pStyle w:val="Verzeichnis2"/>
            <w:tabs>
              <w:tab w:val="right" w:leader="dot" w:pos="9062"/>
            </w:tabs>
            <w:rPr>
              <w:rFonts w:eastAsiaTheme="minorEastAsia"/>
              <w:noProof/>
              <w:sz w:val="24"/>
              <w:szCs w:val="24"/>
              <w:lang w:eastAsia="de-AT"/>
            </w:rPr>
          </w:pPr>
          <w:hyperlink w:anchor="_Toc222767623" w:history="1">
            <w:r w:rsidRPr="00233D31">
              <w:rPr>
                <w:rStyle w:val="Hyperlink"/>
                <w:noProof/>
              </w:rPr>
              <w:t>4.8.2 Schaltplan</w:t>
            </w:r>
            <w:r>
              <w:rPr>
                <w:noProof/>
                <w:webHidden/>
              </w:rPr>
              <w:tab/>
            </w:r>
            <w:r>
              <w:rPr>
                <w:noProof/>
                <w:webHidden/>
              </w:rPr>
              <w:fldChar w:fldCharType="begin"/>
            </w:r>
            <w:r>
              <w:rPr>
                <w:noProof/>
                <w:webHidden/>
              </w:rPr>
              <w:instrText xml:space="preserve"> PAGEREF _Toc222767623 \h </w:instrText>
            </w:r>
            <w:r>
              <w:rPr>
                <w:noProof/>
                <w:webHidden/>
              </w:rPr>
            </w:r>
            <w:r>
              <w:rPr>
                <w:noProof/>
                <w:webHidden/>
              </w:rPr>
              <w:fldChar w:fldCharType="separate"/>
            </w:r>
            <w:r w:rsidR="00CA2418">
              <w:rPr>
                <w:noProof/>
                <w:webHidden/>
              </w:rPr>
              <w:t>15</w:t>
            </w:r>
            <w:r>
              <w:rPr>
                <w:noProof/>
                <w:webHidden/>
              </w:rPr>
              <w:fldChar w:fldCharType="end"/>
            </w:r>
          </w:hyperlink>
        </w:p>
        <w:p w14:paraId="1D249B4E" w14:textId="1B734498" w:rsidR="00EE0B7A" w:rsidRDefault="00EE0B7A">
          <w:pPr>
            <w:pStyle w:val="Verzeichnis1"/>
            <w:tabs>
              <w:tab w:val="right" w:leader="dot" w:pos="9062"/>
            </w:tabs>
            <w:rPr>
              <w:rFonts w:eastAsiaTheme="minorEastAsia"/>
              <w:noProof/>
              <w:sz w:val="24"/>
              <w:szCs w:val="24"/>
              <w:lang w:eastAsia="de-AT"/>
            </w:rPr>
          </w:pPr>
          <w:hyperlink w:anchor="_Toc222767624" w:history="1">
            <w:r w:rsidRPr="00233D31">
              <w:rPr>
                <w:rStyle w:val="Hyperlink"/>
                <w:noProof/>
              </w:rPr>
              <w:t>4.9 Zusammenfassung und Ausblick</w:t>
            </w:r>
            <w:r>
              <w:rPr>
                <w:noProof/>
                <w:webHidden/>
              </w:rPr>
              <w:tab/>
            </w:r>
            <w:r>
              <w:rPr>
                <w:noProof/>
                <w:webHidden/>
              </w:rPr>
              <w:fldChar w:fldCharType="begin"/>
            </w:r>
            <w:r>
              <w:rPr>
                <w:noProof/>
                <w:webHidden/>
              </w:rPr>
              <w:instrText xml:space="preserve"> PAGEREF _Toc222767624 \h </w:instrText>
            </w:r>
            <w:r>
              <w:rPr>
                <w:noProof/>
                <w:webHidden/>
              </w:rPr>
            </w:r>
            <w:r>
              <w:rPr>
                <w:noProof/>
                <w:webHidden/>
              </w:rPr>
              <w:fldChar w:fldCharType="separate"/>
            </w:r>
            <w:r w:rsidR="00CA2418">
              <w:rPr>
                <w:noProof/>
                <w:webHidden/>
              </w:rPr>
              <w:t>19</w:t>
            </w:r>
            <w:r>
              <w:rPr>
                <w:noProof/>
                <w:webHidden/>
              </w:rPr>
              <w:fldChar w:fldCharType="end"/>
            </w:r>
          </w:hyperlink>
        </w:p>
        <w:p w14:paraId="2066CE50" w14:textId="20761656" w:rsidR="00EE0B7A" w:rsidRDefault="00EE0B7A">
          <w:pPr>
            <w:pStyle w:val="Verzeichnis2"/>
            <w:tabs>
              <w:tab w:val="right" w:leader="dot" w:pos="9062"/>
            </w:tabs>
            <w:rPr>
              <w:rFonts w:eastAsiaTheme="minorEastAsia"/>
              <w:noProof/>
              <w:sz w:val="24"/>
              <w:szCs w:val="24"/>
              <w:lang w:eastAsia="de-AT"/>
            </w:rPr>
          </w:pPr>
          <w:hyperlink w:anchor="_Toc222767625" w:history="1">
            <w:r w:rsidRPr="00233D31">
              <w:rPr>
                <w:rStyle w:val="Hyperlink"/>
                <w:noProof/>
              </w:rPr>
              <w:t>4.9.1 Erreichte Ziele und Erfahrungen</w:t>
            </w:r>
            <w:r>
              <w:rPr>
                <w:noProof/>
                <w:webHidden/>
              </w:rPr>
              <w:tab/>
            </w:r>
            <w:r>
              <w:rPr>
                <w:noProof/>
                <w:webHidden/>
              </w:rPr>
              <w:fldChar w:fldCharType="begin"/>
            </w:r>
            <w:r>
              <w:rPr>
                <w:noProof/>
                <w:webHidden/>
              </w:rPr>
              <w:instrText xml:space="preserve"> PAGEREF _Toc222767625 \h </w:instrText>
            </w:r>
            <w:r>
              <w:rPr>
                <w:noProof/>
                <w:webHidden/>
              </w:rPr>
            </w:r>
            <w:r>
              <w:rPr>
                <w:noProof/>
                <w:webHidden/>
              </w:rPr>
              <w:fldChar w:fldCharType="separate"/>
            </w:r>
            <w:r w:rsidR="00CA2418">
              <w:rPr>
                <w:noProof/>
                <w:webHidden/>
              </w:rPr>
              <w:t>19</w:t>
            </w:r>
            <w:r>
              <w:rPr>
                <w:noProof/>
                <w:webHidden/>
              </w:rPr>
              <w:fldChar w:fldCharType="end"/>
            </w:r>
          </w:hyperlink>
        </w:p>
        <w:p w14:paraId="230597C6" w14:textId="550EE41E" w:rsidR="00EE0B7A" w:rsidRDefault="00EE0B7A">
          <w:pPr>
            <w:pStyle w:val="Verzeichnis2"/>
            <w:tabs>
              <w:tab w:val="right" w:leader="dot" w:pos="9062"/>
            </w:tabs>
            <w:rPr>
              <w:rFonts w:eastAsiaTheme="minorEastAsia"/>
              <w:noProof/>
              <w:sz w:val="24"/>
              <w:szCs w:val="24"/>
              <w:lang w:eastAsia="de-AT"/>
            </w:rPr>
          </w:pPr>
          <w:hyperlink w:anchor="_Toc222767626" w:history="1">
            <w:r w:rsidRPr="00233D31">
              <w:rPr>
                <w:rStyle w:val="Hyperlink"/>
                <w:noProof/>
              </w:rPr>
              <w:t>4.9.2 Optimierungspotenzial und Ausblick</w:t>
            </w:r>
            <w:r>
              <w:rPr>
                <w:noProof/>
                <w:webHidden/>
              </w:rPr>
              <w:tab/>
            </w:r>
            <w:r>
              <w:rPr>
                <w:noProof/>
                <w:webHidden/>
              </w:rPr>
              <w:fldChar w:fldCharType="begin"/>
            </w:r>
            <w:r>
              <w:rPr>
                <w:noProof/>
                <w:webHidden/>
              </w:rPr>
              <w:instrText xml:space="preserve"> PAGEREF _Toc222767626 \h </w:instrText>
            </w:r>
            <w:r>
              <w:rPr>
                <w:noProof/>
                <w:webHidden/>
              </w:rPr>
            </w:r>
            <w:r>
              <w:rPr>
                <w:noProof/>
                <w:webHidden/>
              </w:rPr>
              <w:fldChar w:fldCharType="separate"/>
            </w:r>
            <w:r w:rsidR="00CA2418">
              <w:rPr>
                <w:noProof/>
                <w:webHidden/>
              </w:rPr>
              <w:t>19</w:t>
            </w:r>
            <w:r>
              <w:rPr>
                <w:noProof/>
                <w:webHidden/>
              </w:rPr>
              <w:fldChar w:fldCharType="end"/>
            </w:r>
          </w:hyperlink>
        </w:p>
        <w:p w14:paraId="289C5010" w14:textId="68798A16" w:rsidR="00EE0B7A" w:rsidRDefault="00EE0B7A">
          <w:pPr>
            <w:pStyle w:val="Verzeichnis1"/>
            <w:tabs>
              <w:tab w:val="right" w:leader="dot" w:pos="9062"/>
            </w:tabs>
            <w:rPr>
              <w:rFonts w:eastAsiaTheme="minorEastAsia"/>
              <w:noProof/>
              <w:sz w:val="24"/>
              <w:szCs w:val="24"/>
              <w:lang w:eastAsia="de-AT"/>
            </w:rPr>
          </w:pPr>
          <w:hyperlink w:anchor="_Toc222767627" w:history="1">
            <w:r w:rsidRPr="00233D31">
              <w:rPr>
                <w:rStyle w:val="Hyperlink"/>
                <w:noProof/>
              </w:rPr>
              <w:t>5. Quellenverzeichnis</w:t>
            </w:r>
            <w:r>
              <w:rPr>
                <w:noProof/>
                <w:webHidden/>
              </w:rPr>
              <w:tab/>
            </w:r>
            <w:r>
              <w:rPr>
                <w:noProof/>
                <w:webHidden/>
              </w:rPr>
              <w:fldChar w:fldCharType="begin"/>
            </w:r>
            <w:r>
              <w:rPr>
                <w:noProof/>
                <w:webHidden/>
              </w:rPr>
              <w:instrText xml:space="preserve"> PAGEREF _Toc222767627 \h </w:instrText>
            </w:r>
            <w:r>
              <w:rPr>
                <w:noProof/>
                <w:webHidden/>
              </w:rPr>
            </w:r>
            <w:r>
              <w:rPr>
                <w:noProof/>
                <w:webHidden/>
              </w:rPr>
              <w:fldChar w:fldCharType="separate"/>
            </w:r>
            <w:r w:rsidR="00CA2418">
              <w:rPr>
                <w:noProof/>
                <w:webHidden/>
              </w:rPr>
              <w:t>20</w:t>
            </w:r>
            <w:r>
              <w:rPr>
                <w:noProof/>
                <w:webHidden/>
              </w:rPr>
              <w:fldChar w:fldCharType="end"/>
            </w:r>
          </w:hyperlink>
        </w:p>
        <w:p w14:paraId="0FB83415" w14:textId="10C8A62C" w:rsidR="00EE0B7A" w:rsidRDefault="00EE0B7A">
          <w:pPr>
            <w:pStyle w:val="Verzeichnis1"/>
            <w:tabs>
              <w:tab w:val="right" w:leader="dot" w:pos="9062"/>
            </w:tabs>
            <w:rPr>
              <w:rFonts w:eastAsiaTheme="minorEastAsia"/>
              <w:noProof/>
              <w:sz w:val="24"/>
              <w:szCs w:val="24"/>
              <w:lang w:eastAsia="de-AT"/>
            </w:rPr>
          </w:pPr>
          <w:hyperlink w:anchor="_Toc222767628" w:history="1">
            <w:r w:rsidRPr="00233D31">
              <w:rPr>
                <w:rStyle w:val="Hyperlink"/>
                <w:noProof/>
              </w:rPr>
              <w:t>6. Abbildungsverzeichnis</w:t>
            </w:r>
            <w:r>
              <w:rPr>
                <w:noProof/>
                <w:webHidden/>
              </w:rPr>
              <w:tab/>
            </w:r>
            <w:r>
              <w:rPr>
                <w:noProof/>
                <w:webHidden/>
              </w:rPr>
              <w:fldChar w:fldCharType="begin"/>
            </w:r>
            <w:r>
              <w:rPr>
                <w:noProof/>
                <w:webHidden/>
              </w:rPr>
              <w:instrText xml:space="preserve"> PAGEREF _Toc222767628 \h </w:instrText>
            </w:r>
            <w:r>
              <w:rPr>
                <w:noProof/>
                <w:webHidden/>
              </w:rPr>
            </w:r>
            <w:r>
              <w:rPr>
                <w:noProof/>
                <w:webHidden/>
              </w:rPr>
              <w:fldChar w:fldCharType="separate"/>
            </w:r>
            <w:r w:rsidR="00CA2418">
              <w:rPr>
                <w:noProof/>
                <w:webHidden/>
              </w:rPr>
              <w:t>21</w:t>
            </w:r>
            <w:r>
              <w:rPr>
                <w:noProof/>
                <w:webHidden/>
              </w:rPr>
              <w:fldChar w:fldCharType="end"/>
            </w:r>
          </w:hyperlink>
        </w:p>
        <w:p w14:paraId="28B2BAEF" w14:textId="77751FE2" w:rsidR="00EE0B7A" w:rsidRDefault="00EE0B7A">
          <w:pPr>
            <w:pStyle w:val="Verzeichnis1"/>
            <w:tabs>
              <w:tab w:val="right" w:leader="dot" w:pos="9062"/>
            </w:tabs>
            <w:rPr>
              <w:rFonts w:eastAsiaTheme="minorEastAsia"/>
              <w:noProof/>
              <w:sz w:val="24"/>
              <w:szCs w:val="24"/>
              <w:lang w:eastAsia="de-AT"/>
            </w:rPr>
          </w:pPr>
          <w:hyperlink w:anchor="_Toc222767629" w:history="1">
            <w:r w:rsidRPr="00233D31">
              <w:rPr>
                <w:rStyle w:val="Hyperlink"/>
                <w:noProof/>
              </w:rPr>
              <w:t>7 Tabellenverzeichnis</w:t>
            </w:r>
            <w:r>
              <w:rPr>
                <w:noProof/>
                <w:webHidden/>
              </w:rPr>
              <w:tab/>
            </w:r>
            <w:r>
              <w:rPr>
                <w:noProof/>
                <w:webHidden/>
              </w:rPr>
              <w:fldChar w:fldCharType="begin"/>
            </w:r>
            <w:r>
              <w:rPr>
                <w:noProof/>
                <w:webHidden/>
              </w:rPr>
              <w:instrText xml:space="preserve"> PAGEREF _Toc222767629 \h </w:instrText>
            </w:r>
            <w:r>
              <w:rPr>
                <w:noProof/>
                <w:webHidden/>
              </w:rPr>
            </w:r>
            <w:r>
              <w:rPr>
                <w:noProof/>
                <w:webHidden/>
              </w:rPr>
              <w:fldChar w:fldCharType="separate"/>
            </w:r>
            <w:r w:rsidR="00CA2418">
              <w:rPr>
                <w:noProof/>
                <w:webHidden/>
              </w:rPr>
              <w:t>21</w:t>
            </w:r>
            <w:r>
              <w:rPr>
                <w:noProof/>
                <w:webHidden/>
              </w:rPr>
              <w:fldChar w:fldCharType="end"/>
            </w:r>
          </w:hyperlink>
        </w:p>
        <w:p w14:paraId="71A96FF6" w14:textId="6BBA2A3B" w:rsidR="0076295C" w:rsidRPr="00C00A5B" w:rsidRDefault="00111D08" w:rsidP="008C6D28">
          <w:r>
            <w:rPr>
              <w:b/>
              <w:bCs/>
              <w:lang w:val="de-DE"/>
            </w:rPr>
            <w:fldChar w:fldCharType="end"/>
          </w:r>
        </w:p>
      </w:sdtContent>
    </w:sdt>
    <w:p w14:paraId="0A7169F9" w14:textId="3A1A511D" w:rsidR="00303B13" w:rsidRPr="00D95053" w:rsidRDefault="00303B13" w:rsidP="00303B13">
      <w:pPr>
        <w:pStyle w:val="berschrift1"/>
      </w:pPr>
      <w:bookmarkStart w:id="0" w:name="_Toc222767592"/>
      <w:r w:rsidRPr="00D95053">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10CA6920" w14:textId="4B7055D1" w:rsidR="002070A3" w:rsidRDefault="00303B13" w:rsidP="00E86A07">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68E1F3E8" w14:textId="2AB46F43" w:rsidR="00D44963" w:rsidRDefault="009930B9" w:rsidP="00E86A07">
      <w:pPr>
        <w:ind w:left="708"/>
        <w:jc w:val="both"/>
        <w:rPr>
          <w:rFonts w:cs="Arial"/>
        </w:rPr>
      </w:pPr>
      <w:r w:rsidRPr="009930B9">
        <w:rPr>
          <w:rFonts w:cs="Arial"/>
        </w:rPr>
        <w:lastRenderedPageBreak/>
        <w:t>Im Vergleich zur ursprünglich eingereichten Aufgabenstellung, die eine rein autarke Insellösung vorsah, wurde im Zuge der Planung ein Hybridsystem mit Netzanschluss gewählt. Der Grund dafür war, dass eine reine Insellösung bei mehreren aufeinanderfolgenden bewölkten Tagen im Winter nicht ausreichend Energie liefern kann, wie die Worst-Case-Betrachtung in Kapitel 4.3.3 zeigt. Das Hybridsystem stellt daher keine Abkehr vom ursprünglichen Ziel dar, sondern eine sinnvolle Anpassung auf Basis der Erkenntnisse aus der Systemplanung.</w:t>
      </w:r>
    </w:p>
    <w:p w14:paraId="6DFA2E53" w14:textId="77777777" w:rsidR="00303B13" w:rsidRPr="008C6D28" w:rsidRDefault="00303B13" w:rsidP="00303B13">
      <w:pPr>
        <w:pStyle w:val="berschrift2"/>
      </w:pPr>
      <w:bookmarkStart w:id="1" w:name="_Toc222767593"/>
      <w:r w:rsidRPr="008C6D28">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ardwareseitiges Lastmanagement: Der Victron MultiPlus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29D874C4" w14:textId="2F9902CD" w:rsidR="002070A3" w:rsidRDefault="00B45E57" w:rsidP="00E86A0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4313434E" w14:textId="77777777" w:rsidR="00E86A07" w:rsidRDefault="00E86A07" w:rsidP="00E86A07">
      <w:pPr>
        <w:ind w:left="708"/>
        <w:jc w:val="both"/>
        <w:rPr>
          <w:rFonts w:cs="Arial"/>
        </w:rPr>
      </w:pPr>
    </w:p>
    <w:p w14:paraId="02DB2CEF" w14:textId="77777777" w:rsidR="00E86A07" w:rsidRPr="00E86A07" w:rsidRDefault="00E86A07" w:rsidP="00E86A07">
      <w:pPr>
        <w:ind w:left="708"/>
        <w:jc w:val="both"/>
        <w:rPr>
          <w:rFonts w:cs="Arial"/>
        </w:rPr>
      </w:pPr>
    </w:p>
    <w:p w14:paraId="38363231" w14:textId="77777777" w:rsidR="003D6115" w:rsidRPr="003D6115" w:rsidRDefault="003D6115" w:rsidP="003D6115">
      <w:pPr>
        <w:pStyle w:val="berschrift1"/>
      </w:pPr>
      <w:bookmarkStart w:id="2" w:name="_Toc222767594"/>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767595"/>
      <w:r w:rsidRPr="00B36B76">
        <w:lastRenderedPageBreak/>
        <w:t>4.2.</w:t>
      </w:r>
      <w:r>
        <w:t>1</w:t>
      </w:r>
      <w:r w:rsidRPr="00B36B76">
        <w:t xml:space="preserve"> Kennlinien und Maximum Power Point Tracking</w:t>
      </w:r>
      <w:bookmarkEnd w:id="3"/>
    </w:p>
    <w:p w14:paraId="334B6160" w14:textId="29BD8E9C" w:rsidR="00B5270D" w:rsidRDefault="00E71472" w:rsidP="00602A75">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50DDF5D9">
                <wp:simplePos x="0" y="0"/>
                <wp:positionH relativeFrom="margin">
                  <wp:posOffset>426720</wp:posOffset>
                </wp:positionH>
                <wp:positionV relativeFrom="paragraph">
                  <wp:posOffset>4472305</wp:posOffset>
                </wp:positionV>
                <wp:extent cx="5334000" cy="45910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459105"/>
                        </a:xfrm>
                        <a:prstGeom prst="rect">
                          <a:avLst/>
                        </a:prstGeom>
                        <a:solidFill>
                          <a:prstClr val="white"/>
                        </a:solidFill>
                        <a:ln>
                          <a:noFill/>
                        </a:ln>
                      </wps:spPr>
                      <wps:txbx>
                        <w:txbxContent>
                          <w:p w14:paraId="58BFBA6B" w14:textId="7EB41859" w:rsidR="003D6115" w:rsidRPr="00B546EA" w:rsidRDefault="003D6115" w:rsidP="003D6115">
                            <w:pPr>
                              <w:pStyle w:val="Beschriftung"/>
                              <w:rPr>
                                <w:noProof/>
                              </w:rPr>
                            </w:pPr>
                            <w:bookmarkStart w:id="4" w:name="_Toc222727222"/>
                            <w:bookmarkStart w:id="5" w:name="_Toc222766086"/>
                            <w:r w:rsidRPr="00B546EA">
                              <w:t xml:space="preserve">Abbildung </w:t>
                            </w:r>
                            <w:r w:rsidRPr="00B546EA">
                              <w:fldChar w:fldCharType="begin"/>
                            </w:r>
                            <w:r w:rsidRPr="00B546EA">
                              <w:instrText xml:space="preserve"> SEQ Abbildung \* ARABIC </w:instrText>
                            </w:r>
                            <w:r w:rsidRPr="00B546EA">
                              <w:fldChar w:fldCharType="separate"/>
                            </w:r>
                            <w:r w:rsidR="00CA241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1DA4BAEE"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CA241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CA2418">
                              <w:rPr>
                                <w:noProof/>
                              </w:rPr>
                              <w:t>3</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4"/>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3.6pt;margin-top:352.15pt;width:420pt;height:3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" stroked="f">
                <v:textbox inset="0,0,0,0">
                  <w:txbxContent>
                    <w:p w14:paraId="58BFBA6B" w14:textId="7EB41859" w:rsidR="003D6115" w:rsidRPr="00B546EA" w:rsidRDefault="003D6115" w:rsidP="003D6115">
                      <w:pPr>
                        <w:pStyle w:val="Beschriftung"/>
                        <w:rPr>
                          <w:noProof/>
                        </w:rPr>
                      </w:pPr>
                      <w:bookmarkStart w:id="6" w:name="_Toc222727222"/>
                      <w:bookmarkStart w:id="7" w:name="_Toc222766086"/>
                      <w:r w:rsidRPr="00B546EA">
                        <w:t xml:space="preserve">Abbildung </w:t>
                      </w:r>
                      <w:r w:rsidRPr="00B546EA">
                        <w:fldChar w:fldCharType="begin"/>
                      </w:r>
                      <w:r w:rsidRPr="00B546EA">
                        <w:instrText xml:space="preserve"> SEQ Abbildung \* ARABIC </w:instrText>
                      </w:r>
                      <w:r w:rsidRPr="00B546EA">
                        <w:fldChar w:fldCharType="separate"/>
                      </w:r>
                      <w:r w:rsidR="00CA241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1DA4BAEE"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CA241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CA2418">
                        <w:rPr>
                          <w:noProof/>
                        </w:rPr>
                        <w:t>3</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6"/>
                      <w:bookmarkEnd w:id="7"/>
                    </w:p>
                  </w:txbxContent>
                </v:textbox>
                <w10:wrap type="topAndBottom" anchorx="margin"/>
              </v:shape>
            </w:pict>
          </mc:Fallback>
        </mc:AlternateContent>
      </w:r>
      <w:r>
        <w:rPr>
          <w:noProof/>
        </w:rPr>
        <w:drawing>
          <wp:anchor distT="0" distB="0" distL="114300" distR="114300" simplePos="0" relativeHeight="251659264" behindDoc="0" locked="0" layoutInCell="1" allowOverlap="1" wp14:anchorId="083D971F" wp14:editId="3AFA1297">
            <wp:simplePos x="0" y="0"/>
            <wp:positionH relativeFrom="margin">
              <wp:align>center</wp:align>
            </wp:positionH>
            <wp:positionV relativeFrom="paragraph">
              <wp:posOffset>695960</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1472">
        <w:rPr>
          <w:rFonts w:cs="Arial"/>
        </w:rPr>
        <w:t>Zur Beschreibung des elektrischen Betriebsverhaltens von Photovoltaik-Modulen werden Strom-Spannungs-Kennlinien (I-U-Kennlinien) herangezogen. Sie stellen den Zusammenhang zwischen Spannung, Strom und der daraus resultierenden Leistung dar.</w:t>
      </w:r>
    </w:p>
    <w:p w14:paraId="50E029BE" w14:textId="53B9EB0C" w:rsidR="008D0CBA" w:rsidRPr="008D0CBA" w:rsidRDefault="00E71472" w:rsidP="00E71472">
      <w:pPr>
        <w:spacing w:before="360"/>
        <w:ind w:left="708"/>
        <w:jc w:val="both"/>
        <w:rPr>
          <w:rFonts w:cs="Arial"/>
        </w:rPr>
      </w:pPr>
      <w:r w:rsidRPr="00E71472">
        <w:rPr>
          <w:rFonts w:cs="Arial"/>
        </w:rPr>
        <w:t xml:space="preserve">Dabei zeigt sich, dass es einen optimalen Arbeitspunkt gibt, an dem die </w:t>
      </w:r>
      <w:proofErr w:type="gramStart"/>
      <w:r w:rsidRPr="00E71472">
        <w:rPr>
          <w:rFonts w:cs="Arial"/>
        </w:rPr>
        <w:t>erzeugte</w:t>
      </w:r>
      <w:proofErr w:type="gramEnd"/>
      <w:r w:rsidRPr="00E71472">
        <w:rPr>
          <w:rFonts w:cs="Arial"/>
        </w:rPr>
        <w:t xml:space="preserve"> elektrische Leistung maximal ist</w:t>
      </w:r>
      <w:r>
        <w:rPr>
          <w:rFonts w:cs="Arial"/>
        </w:rPr>
        <w:t>, wie in Abbildung 1 dargestellt</w:t>
      </w:r>
      <w:r w:rsidRPr="00E71472">
        <w:rPr>
          <w:rFonts w:cs="Arial"/>
        </w:rPr>
        <w:t>. Dieser Punkt wird als Maximum Power Point (MPP) bezeichnet</w:t>
      </w:r>
      <w:r>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008D0CBA" w:rsidRPr="008D0CBA">
        <w:rPr>
          <w:rFonts w:cs="Arial"/>
        </w:rPr>
        <w:t>.</w:t>
      </w:r>
    </w:p>
    <w:p w14:paraId="48311A74" w14:textId="1F44CB1B" w:rsidR="008D0CBA" w:rsidRPr="008D0CBA" w:rsidRDefault="00E71472" w:rsidP="00E71472">
      <w:pPr>
        <w:ind w:left="708"/>
        <w:jc w:val="both"/>
        <w:rPr>
          <w:rFonts w:cs="Arial"/>
        </w:rPr>
      </w:pPr>
      <w:r w:rsidRPr="00E71472">
        <w:rPr>
          <w:rFonts w:cs="Arial"/>
        </w:rPr>
        <w:t>Der MPP verändert sich kontinuierlich in Abhängigkeit von äußeren Einflüssen wie Sonneneinstrahlung, Modultemperatur und Verschattung</w:t>
      </w:r>
      <w:r>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008D0CBA" w:rsidRPr="008D0CBA">
        <w:rPr>
          <w:rFonts w:cs="Arial"/>
        </w:rPr>
        <w:t>.</w:t>
      </w:r>
      <w:r>
        <w:rPr>
          <w:rFonts w:cs="Arial"/>
        </w:rPr>
        <w:t xml:space="preserve"> </w:t>
      </w:r>
      <w:r w:rsidRPr="00E71472">
        <w:rPr>
          <w:rFonts w:cs="Arial"/>
        </w:rPr>
        <w:t xml:space="preserve">Ein MPPT-Regler überwacht kontinuierlich die aktuelle Modulspannung und den Modulstrom und hält den Betriebspunkt des PV-Moduls stets in der Nähe des MPP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8D0CBA" w:rsidRPr="008D0CBA">
        <w:rPr>
          <w:rFonts w:cs="Arial"/>
        </w:rPr>
        <w:t>.</w:t>
      </w:r>
      <w:r>
        <w:rPr>
          <w:rFonts w:cs="Arial"/>
        </w:rPr>
        <w:t xml:space="preserve"> </w:t>
      </w:r>
      <w:r w:rsidRPr="00E71472">
        <w:rPr>
          <w:rFonts w:cs="Arial"/>
        </w:rPr>
        <w:t>Der im Projekt eingesetzte Victron MultiPlus verfügt über einen integrierten MPPT-Laderegler, der diese Aufgabe automatisch übernimmt. Im Vergleich zu einfachen Ladereglern ohne MPPT-Funktion kann dadurch – abhängig von Betriebsbedingungen und Systemauslegung – ein um bis zu 30</w:t>
      </w:r>
      <w:r>
        <w:rPr>
          <w:rFonts w:cs="Arial"/>
        </w:rPr>
        <w:t> </w:t>
      </w:r>
      <w:r w:rsidRPr="00E71472">
        <w:rPr>
          <w:rFonts w:cs="Arial"/>
        </w:rPr>
        <w:t>% höherer Energieertrag erzielt werden</w:t>
      </w:r>
      <w:r>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8" w:name="_Toc222767596"/>
      <w:r w:rsidRPr="004532AA">
        <w:rPr>
          <w:rFonts w:eastAsia="Times New Roman"/>
          <w:lang w:eastAsia="de-AT"/>
        </w:rPr>
        <w:t>4.2.2 Einfluss von Wetter und Jahreszeit</w:t>
      </w:r>
      <w:bookmarkEnd w:id="8"/>
    </w:p>
    <w:p w14:paraId="3B324A78" w14:textId="279A5C8D" w:rsidR="000E550B" w:rsidRPr="000E550B" w:rsidRDefault="000E550B" w:rsidP="000E550B">
      <w:pPr>
        <w:ind w:left="708"/>
        <w:jc w:val="both"/>
        <w:rPr>
          <w:rFonts w:cs="Arial"/>
        </w:rPr>
      </w:pPr>
      <w:r w:rsidRPr="000E550B">
        <w:rPr>
          <w:rFonts w:cs="Arial"/>
        </w:rPr>
        <w:t xml:space="preserve">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w:t>
      </w:r>
      <w:r w:rsidRPr="000E550B">
        <w:rPr>
          <w:rFonts w:cs="Arial"/>
        </w:rPr>
        <w:lastRenderedPageBreak/>
        <w:t>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9" w:name="_Toc222767597"/>
      <w:r>
        <w:t>4.3 Systemauslegung und Dimensionierung</w:t>
      </w:r>
      <w:bookmarkEnd w:id="9"/>
    </w:p>
    <w:p w14:paraId="79F5093C" w14:textId="72EFE6BE" w:rsidR="00A21DAA" w:rsidRDefault="00CE38E4" w:rsidP="003D6115">
      <w:pPr>
        <w:ind w:left="708"/>
        <w:jc w:val="both"/>
        <w:rPr>
          <w:rFonts w:cs="Arial"/>
        </w:rPr>
      </w:pPr>
      <w:r>
        <w:rPr>
          <w:rFonts w:cs="Arial"/>
        </w:rPr>
        <w:t xml:space="preserve">Die </w:t>
      </w:r>
      <w:r w:rsidRPr="00CE38E4">
        <w:rPr>
          <w:rFonts w:cs="Arial"/>
        </w:rPr>
        <w:t>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MultiPlus mit externer Energie versorgt werden kann.</w:t>
      </w:r>
    </w:p>
    <w:p w14:paraId="14D2D3D1" w14:textId="2B70BA26" w:rsidR="00A21DAA" w:rsidRDefault="008C7E55" w:rsidP="008C7E55">
      <w:pPr>
        <w:pStyle w:val="berschrift2"/>
      </w:pPr>
      <w:bookmarkStart w:id="10" w:name="_Toc222767598"/>
      <w:r>
        <w:t>4.3.1 Ermittlung des Energiebedarfs</w:t>
      </w:r>
      <w:bookmarkEnd w:id="10"/>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2454B319" w:rsidR="00C67F4A" w:rsidRPr="001559CB" w:rsidRDefault="00C67F4A" w:rsidP="00C67F4A">
      <w:pPr>
        <w:numPr>
          <w:ilvl w:val="0"/>
          <w:numId w:val="6"/>
        </w:numPr>
        <w:tabs>
          <w:tab w:val="num" w:pos="720"/>
        </w:tabs>
        <w:spacing w:after="60"/>
        <w:jc w:val="both"/>
        <w:rPr>
          <w:rFonts w:cs="Arial"/>
          <w:lang w:val="en-GB"/>
        </w:rPr>
      </w:pPr>
      <w:r w:rsidRPr="001559CB">
        <w:rPr>
          <w:rFonts w:cs="Arial"/>
          <w:lang w:val="en-GB"/>
        </w:rPr>
        <w:t>Victron Cerbo GX</w:t>
      </w:r>
      <w:r w:rsidR="001559CB" w:rsidRPr="001559CB">
        <w:rPr>
          <w:rFonts w:cs="Arial"/>
          <w:lang w:val="en-GB"/>
        </w:rPr>
        <w:t xml:space="preserve"> </w:t>
      </w:r>
      <w:proofErr w:type="spellStart"/>
      <w:r w:rsidR="001559CB" w:rsidRPr="001559CB">
        <w:rPr>
          <w:rFonts w:cs="Arial"/>
          <w:lang w:val="en-GB"/>
        </w:rPr>
        <w:t>mit</w:t>
      </w:r>
      <w:proofErr w:type="spellEnd"/>
      <w:r w:rsidR="001559CB" w:rsidRPr="001559CB">
        <w:rPr>
          <w:rFonts w:cs="Arial"/>
          <w:lang w:val="en-GB"/>
        </w:rPr>
        <w:t xml:space="preserve"> GX To</w:t>
      </w:r>
      <w:r w:rsidR="001559CB">
        <w:rPr>
          <w:rFonts w:cs="Arial"/>
          <w:lang w:val="en-GB"/>
        </w:rPr>
        <w:t>uch 50</w:t>
      </w:r>
      <w:r w:rsidRPr="001559CB">
        <w:rPr>
          <w:rFonts w:cs="Arial"/>
          <w:lang w:val="en-GB"/>
        </w:rPr>
        <w:t xml:space="preserve">: 3–5 W </w:t>
      </w:r>
      <w:r w:rsidR="00AF08A7">
        <w:rPr>
          <w:rFonts w:cs="Arial"/>
        </w:rPr>
        <w:fldChar w:fldCharType="begin"/>
      </w:r>
      <w:r w:rsidR="00AF08A7" w:rsidRPr="001559CB">
        <w:rPr>
          <w:rFonts w:cs="Arial"/>
          <w:lang w:val="en-GB"/>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1559CB">
        <w:rPr>
          <w:rFonts w:ascii="Aptos" w:hAnsi="Aptos"/>
          <w:lang w:val="en-GB"/>
        </w:rPr>
        <w:t>[7]</w:t>
      </w:r>
      <w:r w:rsidR="00AF08A7">
        <w:rPr>
          <w:rFonts w:cs="Arial"/>
        </w:rPr>
        <w:fldChar w:fldCharType="end"/>
      </w:r>
    </w:p>
    <w:p w14:paraId="4675C054" w14:textId="7F8673E6"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 xml:space="preserve">Victron SmartShunt 500 A: &lt; </w:t>
      </w:r>
      <w:r w:rsidR="001559CB">
        <w:rPr>
          <w:rFonts w:cs="Arial"/>
          <w:lang w:val="en-GB"/>
        </w:rPr>
        <w:t>0,</w:t>
      </w:r>
      <w:r w:rsidRPr="00C67F4A">
        <w:rPr>
          <w:rFonts w:cs="Arial"/>
          <w:lang w:val="en-GB"/>
        </w:rPr>
        <w:t>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3D9830AE" w:rsidR="00C67F4A" w:rsidRPr="00C67F4A" w:rsidRDefault="00C67F4A" w:rsidP="00C67F4A">
      <w:pPr>
        <w:ind w:left="708"/>
        <w:jc w:val="both"/>
        <w:rPr>
          <w:rFonts w:cs="Arial"/>
        </w:rPr>
      </w:pPr>
      <w:r w:rsidRPr="00C67F4A">
        <w:rPr>
          <w:rFonts w:cs="Arial"/>
        </w:rPr>
        <w:t>Der kontinuierliche Grundverbrauch beträgt somit etwa 1</w:t>
      </w:r>
      <w:r w:rsidR="001559CB">
        <w:rPr>
          <w:rFonts w:cs="Arial"/>
        </w:rPr>
        <w:t>4</w:t>
      </w:r>
      <w:r w:rsidRPr="00C67F4A">
        <w:rPr>
          <w:rFonts w:cs="Arial"/>
        </w:rPr>
        <w:t>–</w:t>
      </w:r>
      <w:r w:rsidR="001559CB">
        <w:rPr>
          <w:rFonts w:cs="Arial"/>
        </w:rPr>
        <w:t>18</w:t>
      </w:r>
      <w:r>
        <w:rPr>
          <w:rFonts w:cs="Arial"/>
        </w:rPr>
        <w:t> </w:t>
      </w:r>
      <w:r w:rsidRPr="00C67F4A">
        <w:rPr>
          <w:rFonts w:cs="Arial"/>
        </w:rPr>
        <w:t xml:space="preserve">W, was einem Tagesverbrauch von ca. </w:t>
      </w:r>
      <w:r w:rsidR="00832715">
        <w:rPr>
          <w:rFonts w:cs="Arial"/>
        </w:rPr>
        <w:t>336</w:t>
      </w:r>
      <w:r w:rsidRPr="00C67F4A">
        <w:rPr>
          <w:rFonts w:cs="Arial"/>
        </w:rPr>
        <w:t>–</w:t>
      </w:r>
      <w:r w:rsidR="00832715">
        <w:rPr>
          <w:rFonts w:cs="Arial"/>
        </w:rPr>
        <w:t>432</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lastRenderedPageBreak/>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53925321"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 xml:space="preserve">Wh pro Tag. Der Gesamtenergiebedarf liegt somit bei etwa </w:t>
      </w:r>
      <w:r w:rsidR="00832715">
        <w:rPr>
          <w:rFonts w:cs="Arial"/>
        </w:rPr>
        <w:t>556</w:t>
      </w:r>
      <w:r w:rsidRPr="00C67F4A">
        <w:rPr>
          <w:rFonts w:cs="Arial"/>
        </w:rPr>
        <w:t>–</w:t>
      </w:r>
      <w:r w:rsidR="00832715">
        <w:rPr>
          <w:rFonts w:cs="Arial"/>
        </w:rPr>
        <w:t>652</w:t>
      </w:r>
      <w:r w:rsidR="00832FEE">
        <w:rPr>
          <w:rFonts w:cs="Arial"/>
        </w:rPr>
        <w:t> </w:t>
      </w:r>
      <w:r w:rsidRPr="00C67F4A">
        <w:rPr>
          <w:rFonts w:cs="Arial"/>
        </w:rPr>
        <w:t>Wh/Tag.</w:t>
      </w:r>
    </w:p>
    <w:p w14:paraId="27D679E1" w14:textId="0E0E9DCB"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w:t>
      </w:r>
      <w:r w:rsidR="00C12600">
        <w:rPr>
          <w:rFonts w:cs="Arial"/>
        </w:rPr>
        <w:t xml:space="preserve">m </w:t>
      </w:r>
      <w:r w:rsidRPr="00C67F4A">
        <w:rPr>
          <w:rFonts w:cs="Arial"/>
        </w:rPr>
        <w:t xml:space="preserve">Energiebedarf von ca. </w:t>
      </w:r>
      <w:r w:rsidR="00C12600">
        <w:rPr>
          <w:rFonts w:cs="Arial"/>
        </w:rPr>
        <w:t>780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11" w:name="_Toc222767599"/>
      <w:r w:rsidRPr="008C7E55">
        <w:t>4.3.2 Berechnung der PV-Leistung und Batteriekapazität</w:t>
      </w:r>
      <w:bookmarkEnd w:id="11"/>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2" w:name="_Toc222767600"/>
      <w:r w:rsidRPr="009F1277">
        <w:t>4.3.3 Autonomiezeit und Worst-Case-Betrachtung</w:t>
      </w:r>
      <w:bookmarkEnd w:id="12"/>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38AFA127"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 4</w:t>
      </w:r>
      <w:r w:rsidR="001F6C3C">
        <w:rPr>
          <w:rFonts w:cs="Arial"/>
        </w:rPr>
        <w:t>0</w:t>
      </w:r>
      <w:r w:rsidR="00832FEE">
        <w:rPr>
          <w:rFonts w:cs="Arial"/>
        </w:rPr>
        <w:t> </w:t>
      </w:r>
      <w:r w:rsidRPr="009F1277">
        <w:rPr>
          <w:rFonts w:cs="Arial"/>
        </w:rPr>
        <w:t>% (reduzierter Betrieb)</w:t>
      </w:r>
    </w:p>
    <w:p w14:paraId="5CB45921" w14:textId="7EF85492" w:rsidR="009F1277" w:rsidRPr="009F1277" w:rsidRDefault="009F1277" w:rsidP="009F1277">
      <w:pPr>
        <w:numPr>
          <w:ilvl w:val="0"/>
          <w:numId w:val="12"/>
        </w:numPr>
        <w:tabs>
          <w:tab w:val="num" w:pos="720"/>
        </w:tabs>
        <w:spacing w:after="60"/>
        <w:jc w:val="both"/>
        <w:rPr>
          <w:rFonts w:cs="Arial"/>
        </w:rPr>
      </w:pPr>
      <w:r w:rsidRPr="009F1277">
        <w:rPr>
          <w:rFonts w:cs="Arial"/>
        </w:rPr>
        <w:lastRenderedPageBreak/>
        <w:t>Tag 2: Batterie 4</w:t>
      </w:r>
      <w:r w:rsidR="001F6C3C">
        <w:rPr>
          <w:rFonts w:cs="Arial"/>
        </w:rPr>
        <w:t>0</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MultiPlus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3" w:name="_Toc222767601"/>
      <w:r w:rsidRPr="00741E99">
        <w:t xml:space="preserve">4.4 </w:t>
      </w:r>
      <w:r w:rsidR="002070A3" w:rsidRPr="002070A3">
        <w:t>Auswahl der Systemkomponenten</w:t>
      </w:r>
      <w:bookmarkEnd w:id="13"/>
    </w:p>
    <w:p w14:paraId="6830179D" w14:textId="42847604"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4" w:name="_Toc222767602"/>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4"/>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Monokristalline Zellen erreichen einen 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5" w:name="_Toc222767603"/>
      <w:r w:rsidRPr="002B3A8B">
        <w:t>4.4.2 AGM Super Cycle Batterie 100</w:t>
      </w:r>
      <w:r w:rsidR="009266EB" w:rsidRPr="002B3A8B">
        <w:t> </w:t>
      </w:r>
      <w:r w:rsidRPr="002B3A8B">
        <w:t>Ah</w:t>
      </w:r>
      <w:bookmarkEnd w:id="15"/>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6" w:name="_Toc222767604"/>
      <w:r w:rsidRPr="00741E99">
        <w:lastRenderedPageBreak/>
        <w:t>4.4.3 Victron MultiPlus 12/800</w:t>
      </w:r>
      <w:bookmarkEnd w:id="16"/>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er MultiPlus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-Schnittstelle erlaubt die Kommunikation mit weiteren Victron-Geräten.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7" w:name="_Toc222767605"/>
      <w:r w:rsidRPr="00741E99">
        <w:t>4.4.4 Victron SmartShunt 500 A</w:t>
      </w:r>
      <w:bookmarkEnd w:id="17"/>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er SmartShunt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VDC, wodurch der SmartShunt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8" w:name="_Toc222767606"/>
      <w:r w:rsidRPr="00741E99">
        <w:t>4.4.5 Victron Orion 12/12-18</w:t>
      </w:r>
      <w:bookmarkEnd w:id="18"/>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Bei der Skalierung auf 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9" w:name="_Toc222767607"/>
      <w:r w:rsidRPr="00741E99">
        <w:rPr>
          <w:lang w:val="en-GB"/>
        </w:rPr>
        <w:t>4.4.6 Victron Cerbo GX und GX Touch 50</w:t>
      </w:r>
      <w:bookmarkEnd w:id="19"/>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Victron-Komponenten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20" w:name="_Toc222767608"/>
      <w:r w:rsidRPr="00741E99">
        <w:t>4.4.7 Verkabelung</w:t>
      </w:r>
      <w:r w:rsidR="002070A3">
        <w:t xml:space="preserve"> und Absicherung</w:t>
      </w:r>
      <w:bookmarkEnd w:id="20"/>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ür Hochstromverbindungen zwischen Batterie und MultiPlus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 xml:space="preserve">A) schützen vor Kurzschlüssen. Ringkabelschuhe M8 sichern </w:t>
      </w:r>
      <w:r w:rsidR="002070A3" w:rsidRPr="002070A3">
        <w:rPr>
          <w:rFonts w:cs="Arial"/>
        </w:rPr>
        <w:lastRenderedPageBreak/>
        <w:t>die Verschraubung an Batterie und Victron-Geräten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21" w:name="_Toc222767609"/>
      <w:r w:rsidRPr="00040FB0">
        <w:t>4.5 Batterietechnologien im Vergleich</w:t>
      </w:r>
      <w:bookmarkEnd w:id="21"/>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2" w:name="_Toc222767610"/>
      <w:r w:rsidRPr="00040FB0">
        <w:t>4.5.1 Technische Eigenschaften der Batterietechnologien</w:t>
      </w:r>
      <w:bookmarkEnd w:id="22"/>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bieten eine höhere Tiefentladefestigkeit als AGM-Batterien und erreichen 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w:t>
      </w:r>
      <w:r w:rsidRPr="00040FB0">
        <w:rPr>
          <w:rFonts w:cs="Arial"/>
        </w:rPr>
        <w:lastRenderedPageBreak/>
        <w:t xml:space="preserve">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3" w:name="_Toc222767611"/>
      <w:r w:rsidRPr="00040FB0">
        <w:t>4.5.2 Vergleich und Auswahlbegründung</w:t>
      </w:r>
      <w:bookmarkEnd w:id="23"/>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031E80">
        <w:tc>
          <w:tcPr>
            <w:tcW w:w="2265" w:type="dxa"/>
            <w:tcBorders>
              <w:bottom w:val="single" w:sz="6" w:space="0" w:color="auto"/>
              <w:right w:val="single" w:sz="6" w:space="0" w:color="auto"/>
            </w:tcBorders>
            <w:shd w:val="clear" w:color="auto" w:fill="2563EB"/>
          </w:tcPr>
          <w:p w14:paraId="351BC78F" w14:textId="05EDB751" w:rsidR="009327E3" w:rsidRPr="00031E80" w:rsidRDefault="009327E3" w:rsidP="00906B7F">
            <w:pPr>
              <w:jc w:val="center"/>
              <w:rPr>
                <w:rFonts w:cs="Arial"/>
                <w:b/>
                <w:bCs/>
                <w:color w:val="FFFFFF" w:themeColor="background1"/>
              </w:rPr>
            </w:pPr>
            <w:r w:rsidRPr="00031E80">
              <w:rPr>
                <w:rFonts w:cs="Arial"/>
                <w:b/>
                <w:bCs/>
                <w:color w:val="FFFFFF" w:themeColor="background1"/>
              </w:rPr>
              <w:t>Kriterium</w:t>
            </w:r>
          </w:p>
        </w:tc>
        <w:tc>
          <w:tcPr>
            <w:tcW w:w="2265" w:type="dxa"/>
            <w:tcBorders>
              <w:left w:val="single" w:sz="6" w:space="0" w:color="auto"/>
              <w:bottom w:val="single" w:sz="6" w:space="0" w:color="auto"/>
            </w:tcBorders>
            <w:shd w:val="clear" w:color="auto" w:fill="2563EB"/>
          </w:tcPr>
          <w:p w14:paraId="05C391D1" w14:textId="32F9F30B" w:rsidR="009327E3" w:rsidRPr="00031E80" w:rsidRDefault="009327E3" w:rsidP="00906B7F">
            <w:pPr>
              <w:jc w:val="center"/>
              <w:rPr>
                <w:rFonts w:cs="Arial"/>
                <w:b/>
                <w:bCs/>
                <w:color w:val="FFFFFF" w:themeColor="background1"/>
              </w:rPr>
            </w:pPr>
            <w:r w:rsidRPr="00031E80">
              <w:rPr>
                <w:rFonts w:cs="Arial"/>
                <w:b/>
                <w:bCs/>
                <w:color w:val="FFFFFF" w:themeColor="background1"/>
              </w:rPr>
              <w:t>AGM</w:t>
            </w:r>
          </w:p>
        </w:tc>
        <w:tc>
          <w:tcPr>
            <w:tcW w:w="2266" w:type="dxa"/>
            <w:tcBorders>
              <w:bottom w:val="single" w:sz="6" w:space="0" w:color="auto"/>
            </w:tcBorders>
            <w:shd w:val="clear" w:color="auto" w:fill="2563EB"/>
          </w:tcPr>
          <w:p w14:paraId="3ABDC2BD" w14:textId="55627C61" w:rsidR="009327E3" w:rsidRPr="00031E80" w:rsidRDefault="009327E3" w:rsidP="00906B7F">
            <w:pPr>
              <w:jc w:val="center"/>
              <w:rPr>
                <w:rFonts w:cs="Arial"/>
                <w:b/>
                <w:bCs/>
                <w:color w:val="FFFFFF" w:themeColor="background1"/>
              </w:rPr>
            </w:pPr>
            <w:r w:rsidRPr="00031E80">
              <w:rPr>
                <w:rFonts w:cs="Arial"/>
                <w:b/>
                <w:bCs/>
                <w:color w:val="FFFFFF" w:themeColor="background1"/>
              </w:rPr>
              <w:t>Gel</w:t>
            </w:r>
          </w:p>
        </w:tc>
        <w:tc>
          <w:tcPr>
            <w:tcW w:w="2266" w:type="dxa"/>
            <w:tcBorders>
              <w:bottom w:val="single" w:sz="6" w:space="0" w:color="auto"/>
            </w:tcBorders>
            <w:shd w:val="clear" w:color="auto" w:fill="2563EB"/>
          </w:tcPr>
          <w:p w14:paraId="1CE48EE6" w14:textId="7EC9347F" w:rsidR="009327E3" w:rsidRPr="00031E80" w:rsidRDefault="009327E3" w:rsidP="00906B7F">
            <w:pPr>
              <w:jc w:val="center"/>
              <w:rPr>
                <w:rFonts w:cs="Arial"/>
                <w:b/>
                <w:bCs/>
                <w:color w:val="FFFFFF" w:themeColor="background1"/>
              </w:rPr>
            </w:pPr>
            <w:r w:rsidRPr="00031E80">
              <w:rPr>
                <w:rFonts w:cs="Arial"/>
                <w:b/>
                <w:bCs/>
                <w:color w:val="FFFFFF" w:themeColor="background1"/>
              </w:rPr>
              <w:t>LiFePO4</w:t>
            </w:r>
          </w:p>
        </w:tc>
      </w:tr>
      <w:tr w:rsidR="009327E3" w14:paraId="5366DA17" w14:textId="77777777" w:rsidTr="00031E80">
        <w:tc>
          <w:tcPr>
            <w:tcW w:w="2265" w:type="dxa"/>
            <w:tcBorders>
              <w:top w:val="single" w:sz="6" w:space="0" w:color="auto"/>
              <w:right w:val="single" w:sz="6"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6" w:space="0" w:color="auto"/>
              <w:left w:val="single" w:sz="6"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6"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6"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031E80">
        <w:tc>
          <w:tcPr>
            <w:tcW w:w="2265" w:type="dxa"/>
            <w:tcBorders>
              <w:right w:val="single" w:sz="6"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6"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031E80">
        <w:tc>
          <w:tcPr>
            <w:tcW w:w="2265" w:type="dxa"/>
            <w:tcBorders>
              <w:right w:val="single" w:sz="6"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6"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031E80">
        <w:tc>
          <w:tcPr>
            <w:tcW w:w="2265" w:type="dxa"/>
            <w:tcBorders>
              <w:right w:val="single" w:sz="6"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6"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031E80">
        <w:tc>
          <w:tcPr>
            <w:tcW w:w="2265" w:type="dxa"/>
            <w:tcBorders>
              <w:right w:val="single" w:sz="6"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6"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031E80">
        <w:tc>
          <w:tcPr>
            <w:tcW w:w="2265" w:type="dxa"/>
            <w:tcBorders>
              <w:right w:val="single" w:sz="6"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6"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031E80">
        <w:tc>
          <w:tcPr>
            <w:tcW w:w="2265" w:type="dxa"/>
            <w:tcBorders>
              <w:right w:val="single" w:sz="6"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6" w:space="0" w:color="auto"/>
            </w:tcBorders>
          </w:tcPr>
          <w:p w14:paraId="2C66A7AA" w14:textId="481E734B" w:rsidR="00105ED7" w:rsidRDefault="00105ED7" w:rsidP="00105ED7">
            <w:pPr>
              <w:jc w:val="center"/>
              <w:rPr>
                <w:rFonts w:cs="Arial"/>
              </w:rPr>
            </w:pPr>
            <w:r>
              <w:rPr>
                <w:rFonts w:cs="Arial"/>
              </w:rPr>
              <w:t>Ja (-20 bis +40 °C)</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031E80">
        <w:tc>
          <w:tcPr>
            <w:tcW w:w="2265" w:type="dxa"/>
            <w:tcBorders>
              <w:right w:val="single" w:sz="6"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6"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031E80">
        <w:tc>
          <w:tcPr>
            <w:tcW w:w="2265" w:type="dxa"/>
            <w:tcBorders>
              <w:right w:val="single" w:sz="6"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6"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FF4DC9">
            <w:pPr>
              <w:keepNext/>
              <w:jc w:val="center"/>
              <w:rPr>
                <w:rFonts w:cs="Arial"/>
              </w:rPr>
            </w:pPr>
            <w:r>
              <w:rPr>
                <w:rFonts w:cs="Arial"/>
              </w:rPr>
              <w:t>Ja</w:t>
            </w:r>
          </w:p>
        </w:tc>
      </w:tr>
    </w:tbl>
    <w:p w14:paraId="16927DAB" w14:textId="1ED11501" w:rsidR="00FF4DC9" w:rsidRDefault="00FF4DC9">
      <w:pPr>
        <w:pStyle w:val="Beschriftung"/>
      </w:pPr>
      <w:r>
        <w:br/>
      </w:r>
      <w:bookmarkStart w:id="24" w:name="_Toc222767574"/>
      <w:r>
        <w:t xml:space="preserve">Tabelle </w:t>
      </w:r>
      <w:r>
        <w:fldChar w:fldCharType="begin"/>
      </w:r>
      <w:r>
        <w:instrText xml:space="preserve"> SEQ Tabelle \* ARABIC </w:instrText>
      </w:r>
      <w:r>
        <w:fldChar w:fldCharType="separate"/>
      </w:r>
      <w:r w:rsidR="00CA2418">
        <w:rPr>
          <w:noProof/>
        </w:rPr>
        <w:t>1</w:t>
      </w:r>
      <w:r>
        <w:fldChar w:fldCharType="end"/>
      </w:r>
      <w:r>
        <w:t>: Technischer Vergleich von AGM, Gel und LiFePO4 Batterien</w:t>
      </w:r>
      <w:bookmarkEnd w:id="24"/>
    </w:p>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3B1A6DCE"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222C03">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222C03">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222C03">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858A6CF" w:rsidR="004C7082" w:rsidRPr="00363126" w:rsidRDefault="00363126" w:rsidP="00B1674E">
      <w:pPr>
        <w:jc w:val="both"/>
        <w:rPr>
          <w:rStyle w:val="berschrift1Zchn"/>
        </w:rPr>
      </w:pPr>
      <w:bookmarkStart w:id="25" w:name="_Toc222767612"/>
      <w:r w:rsidRPr="00363126">
        <w:rPr>
          <w:rStyle w:val="berschrift1Zchn"/>
        </w:rPr>
        <w:t>4.6 Integration und Konfiguration des Victron-Energ</w:t>
      </w:r>
      <w:r>
        <w:rPr>
          <w:rStyle w:val="berschrift1Zchn"/>
        </w:rPr>
        <w:t>y</w:t>
      </w:r>
      <w:r w:rsidRPr="00363126">
        <w:rPr>
          <w:rStyle w:val="berschrift1Zchn"/>
        </w:rPr>
        <w:t>-Monitoring</w:t>
      </w:r>
      <w:r>
        <w:rPr>
          <w:rStyle w:val="berschrift1Zchn"/>
        </w:rPr>
        <w:t>-S</w:t>
      </w:r>
      <w:r w:rsidRPr="00363126">
        <w:rPr>
          <w:rStyle w:val="berschrift1Zchn"/>
        </w:rPr>
        <w:t>ystems</w:t>
      </w:r>
      <w:bookmarkEnd w:id="25"/>
    </w:p>
    <w:p w14:paraId="4A370675" w14:textId="51EB9953" w:rsidR="00310E86" w:rsidRDefault="00060741" w:rsidP="00A871F4">
      <w:pPr>
        <w:ind w:left="708"/>
        <w:jc w:val="both"/>
        <w:rPr>
          <w:rFonts w:cs="Arial"/>
        </w:rPr>
      </w:pPr>
      <w:r w:rsidRPr="00060741">
        <w:rPr>
          <w:rFonts w:cs="Arial"/>
        </w:rPr>
        <w:t>Für die Überwachung des hybriden 12-V-Energiesystems wurde der Cerbo GX von Victron Energy als zentrale Monitoring-Einheit gewählt. Er verbindet den SmartShunt 500</w:t>
      </w:r>
      <w:r w:rsidR="00105A36">
        <w:rPr>
          <w:rFonts w:cs="Arial"/>
        </w:rPr>
        <w:t> </w:t>
      </w:r>
      <w:r w:rsidRPr="00060741">
        <w:rPr>
          <w:rFonts w:cs="Arial"/>
        </w:rPr>
        <w:t>A und den MultiPlus 12/800 über gerätespezifische Schnittstellen und stellt die erfassten Messdaten lokal sowie über das Netzwerk bereit.</w:t>
      </w:r>
    </w:p>
    <w:p w14:paraId="122065E5" w14:textId="1763F640" w:rsidR="00B1674E" w:rsidRDefault="00B1674E" w:rsidP="00B1674E">
      <w:pPr>
        <w:pStyle w:val="berschrift2"/>
      </w:pPr>
      <w:bookmarkStart w:id="26" w:name="_Toc222767613"/>
      <w:r>
        <w:t>4.6.1 Systemarchitektur und Kommunikationsschnittstellen</w:t>
      </w:r>
      <w:bookmarkEnd w:id="26"/>
    </w:p>
    <w:p w14:paraId="2B469665" w14:textId="77777777" w:rsidR="00060741" w:rsidRPr="00060741" w:rsidRDefault="00060741" w:rsidP="00060741">
      <w:pPr>
        <w:ind w:left="708"/>
        <w:jc w:val="both"/>
        <w:rPr>
          <w:rFonts w:cs="Arial"/>
        </w:rPr>
      </w:pPr>
      <w:r w:rsidRPr="00060741">
        <w:rPr>
          <w:rFonts w:cs="Arial"/>
        </w:rPr>
        <w:t xml:space="preserve">Die Anbindung der Systemkomponenten erfolgt über zwei gerätespezifische Schnittstellen: </w:t>
      </w:r>
      <w:proofErr w:type="spellStart"/>
      <w:r w:rsidRPr="00060741">
        <w:rPr>
          <w:rFonts w:cs="Arial"/>
        </w:rPr>
        <w:t>VE.Direct</w:t>
      </w:r>
      <w:proofErr w:type="spellEnd"/>
      <w:r w:rsidRPr="00060741">
        <w:rPr>
          <w:rFonts w:cs="Arial"/>
        </w:rPr>
        <w:t xml:space="preserve"> und </w:t>
      </w:r>
      <w:proofErr w:type="spellStart"/>
      <w:r w:rsidRPr="00060741">
        <w:rPr>
          <w:rFonts w:cs="Arial"/>
        </w:rPr>
        <w:t>VE.Bus</w:t>
      </w:r>
      <w:proofErr w:type="spellEnd"/>
      <w:r w:rsidRPr="00060741">
        <w:rPr>
          <w:rFonts w:cs="Arial"/>
        </w:rPr>
        <w:t>.</w:t>
      </w:r>
    </w:p>
    <w:p w14:paraId="4E047044" w14:textId="1E47FB04" w:rsidR="00060741" w:rsidRPr="00060741" w:rsidRDefault="00060741" w:rsidP="00060741">
      <w:pPr>
        <w:ind w:left="708"/>
        <w:jc w:val="both"/>
        <w:rPr>
          <w:rFonts w:cs="Arial"/>
        </w:rPr>
      </w:pPr>
      <w:r w:rsidRPr="00060741">
        <w:rPr>
          <w:rFonts w:cs="Arial"/>
        </w:rPr>
        <w:t>Der SmartShunt 500</w:t>
      </w:r>
      <w:r w:rsidR="00105A36">
        <w:rPr>
          <w:rFonts w:cs="Arial"/>
        </w:rPr>
        <w:t> </w:t>
      </w:r>
      <w:r w:rsidRPr="00060741">
        <w:rPr>
          <w:rFonts w:cs="Arial"/>
        </w:rPr>
        <w:t xml:space="preserve">A ist über </w:t>
      </w:r>
      <w:proofErr w:type="spellStart"/>
      <w:r w:rsidRPr="00060741">
        <w:rPr>
          <w:rFonts w:cs="Arial"/>
        </w:rPr>
        <w:t>VE.Direct</w:t>
      </w:r>
      <w:proofErr w:type="spellEnd"/>
      <w:r w:rsidRPr="00060741">
        <w:rPr>
          <w:rFonts w:cs="Arial"/>
        </w:rPr>
        <w:t xml:space="preserve"> angebunden. Über diese Punkt-zu-Punkt-Schnittstelle werden ausschließlich Batteriedaten wie Spannung, Strom und Ladezustand an den Cerbo GX übertragen</w:t>
      </w:r>
      <w:r w:rsidR="00222C03">
        <w:rPr>
          <w:rFonts w:cs="Arial"/>
        </w:rPr>
        <w:t xml:space="preserve"> </w:t>
      </w:r>
      <w:r w:rsidR="00222C03">
        <w:rPr>
          <w:rFonts w:cs="Arial"/>
        </w:rPr>
        <w:fldChar w:fldCharType="begin"/>
      </w:r>
      <w:r w:rsidR="00222C03">
        <w:rPr>
          <w:rFonts w:cs="Arial"/>
        </w:rPr>
        <w:instrText xml:space="preserve"> ADDIN ZOTERO_ITEM CSL_CITATION {"citationID":"QvEkLOot","properties":{"formattedCitation":"[7], [15]","plainCitation":"[7], [15]","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sidR="00222C03">
        <w:rPr>
          <w:rFonts w:cs="Arial"/>
        </w:rPr>
        <w:fldChar w:fldCharType="separate"/>
      </w:r>
      <w:r w:rsidR="00222C03" w:rsidRPr="00222C03">
        <w:rPr>
          <w:rFonts w:ascii="Aptos" w:hAnsi="Aptos"/>
        </w:rPr>
        <w:t>[7][15]</w:t>
      </w:r>
      <w:r w:rsidR="00222C03">
        <w:rPr>
          <w:rFonts w:cs="Arial"/>
        </w:rPr>
        <w:fldChar w:fldCharType="end"/>
      </w:r>
      <w:r w:rsidRPr="00060741">
        <w:rPr>
          <w:rFonts w:cs="Arial"/>
        </w:rPr>
        <w:t xml:space="preserve">. Der Cerbo GX verfügt über drei galvanisch isolierte </w:t>
      </w:r>
      <w:proofErr w:type="spellStart"/>
      <w:r w:rsidRPr="00060741">
        <w:rPr>
          <w:rFonts w:cs="Arial"/>
        </w:rPr>
        <w:t>VE.Direct</w:t>
      </w:r>
      <w:proofErr w:type="spellEnd"/>
      <w:r w:rsidRPr="00060741">
        <w:rPr>
          <w:rFonts w:cs="Arial"/>
        </w:rPr>
        <w:t>-Anschlüsse</w:t>
      </w:r>
      <w:r w:rsidR="000C768E">
        <w:rPr>
          <w:rFonts w:cs="Arial"/>
        </w:rPr>
        <w:t>, d</w:t>
      </w:r>
      <w:r w:rsidR="000C768E" w:rsidRPr="000C768E">
        <w:rPr>
          <w:rFonts w:cs="Arial"/>
        </w:rPr>
        <w:t xml:space="preserve">ie galvanische Isolation dient der störungsarmen Signalübertragung </w:t>
      </w:r>
      <w:r w:rsidR="00222C03">
        <w:rPr>
          <w:rFonts w:cs="Arial"/>
        </w:rPr>
        <w:fldChar w:fldCharType="begin"/>
      </w:r>
      <w:r w:rsidR="00222C03">
        <w:rPr>
          <w:rFonts w:cs="Arial"/>
        </w:rPr>
        <w:instrText xml:space="preserve"> ADDIN ZOTERO_ITEM CSL_CITATION {"citationID":"SmGrxdmf","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1B53B6CC" w14:textId="5F9D2F69" w:rsidR="00060741" w:rsidRPr="00060741" w:rsidRDefault="00060741" w:rsidP="00060741">
      <w:pPr>
        <w:ind w:left="708"/>
        <w:jc w:val="both"/>
        <w:rPr>
          <w:rFonts w:cs="Arial"/>
        </w:rPr>
      </w:pPr>
      <w:r w:rsidRPr="00060741">
        <w:rPr>
          <w:rFonts w:cs="Arial"/>
        </w:rPr>
        <w:t xml:space="preserve">Der MultiPlus 12/800 ist über </w:t>
      </w:r>
      <w:proofErr w:type="spellStart"/>
      <w:r w:rsidRPr="00060741">
        <w:rPr>
          <w:rFonts w:cs="Arial"/>
        </w:rPr>
        <w:t>VE.Bus</w:t>
      </w:r>
      <w:proofErr w:type="spellEnd"/>
      <w:r w:rsidRPr="00060741">
        <w:rPr>
          <w:rFonts w:cs="Arial"/>
        </w:rPr>
        <w:t xml:space="preserve"> angebunden. </w:t>
      </w:r>
      <w:proofErr w:type="spellStart"/>
      <w:r w:rsidRPr="00060741">
        <w:rPr>
          <w:rFonts w:cs="Arial"/>
        </w:rPr>
        <w:t>VE.Bus</w:t>
      </w:r>
      <w:proofErr w:type="spellEnd"/>
      <w:r w:rsidRPr="00060741">
        <w:rPr>
          <w:rFonts w:cs="Arial"/>
        </w:rPr>
        <w:t xml:space="preserve"> ist das Protokoll, über das Wechselrichter und Ladegeräte ihre AC-Ausgänge synchronisieren und mit der Monitoring-Einheit kommunizieren </w:t>
      </w:r>
      <w:r w:rsidR="00222C03">
        <w:rPr>
          <w:rFonts w:cs="Arial"/>
        </w:rPr>
        <w:fldChar w:fldCharType="begin"/>
      </w:r>
      <w:r w:rsidR="00222C03">
        <w:rPr>
          <w:rFonts w:cs="Arial"/>
        </w:rPr>
        <w:instrText xml:space="preserve"> ADDIN ZOTERO_ITEM CSL_CITATION {"citationID":"KkOvjvxC","properties":{"formattedCitation":"[15]","plainCitation":"[15]","noteIndex":0},"citationItems":[{"id":42,"uris":["http://zotero.org/groups/6046789/items/CWRHRLPC"],"itemData":{"id":42,"type":"article-journal","language":"de","source":"Zotero","title":"Datenkommunikation mit Victron Energy Produkten","author":[{"family":"Vader","given":"Matthijs"}]}}],"schema":"https://github.com/citation-style-language/schema/raw/master/csl-citation.json"} </w:instrText>
      </w:r>
      <w:r w:rsidR="00222C03">
        <w:rPr>
          <w:rFonts w:cs="Arial"/>
        </w:rPr>
        <w:fldChar w:fldCharType="separate"/>
      </w:r>
      <w:r w:rsidR="00222C03" w:rsidRPr="00222C03">
        <w:rPr>
          <w:rFonts w:ascii="Aptos" w:hAnsi="Aptos"/>
        </w:rPr>
        <w:t>[15]</w:t>
      </w:r>
      <w:r w:rsidR="00222C03">
        <w:rPr>
          <w:rFonts w:cs="Arial"/>
        </w:rPr>
        <w:fldChar w:fldCharType="end"/>
      </w:r>
      <w:r w:rsidRPr="00060741">
        <w:rPr>
          <w:rFonts w:cs="Arial"/>
        </w:rPr>
        <w:t xml:space="preserve">. Im Unterschied zu </w:t>
      </w:r>
      <w:proofErr w:type="spellStart"/>
      <w:r w:rsidRPr="00060741">
        <w:rPr>
          <w:rFonts w:cs="Arial"/>
        </w:rPr>
        <w:t>VE.Direct</w:t>
      </w:r>
      <w:proofErr w:type="spellEnd"/>
      <w:r w:rsidRPr="00060741">
        <w:rPr>
          <w:rFonts w:cs="Arial"/>
        </w:rPr>
        <w:t xml:space="preserve"> überträgt </w:t>
      </w:r>
      <w:proofErr w:type="spellStart"/>
      <w:r w:rsidRPr="00060741">
        <w:rPr>
          <w:rFonts w:cs="Arial"/>
        </w:rPr>
        <w:t>VE.Bus</w:t>
      </w:r>
      <w:proofErr w:type="spellEnd"/>
      <w:r w:rsidRPr="00060741">
        <w:rPr>
          <w:rFonts w:cs="Arial"/>
        </w:rPr>
        <w:t xml:space="preserve"> keine Batterierohwerte, sondern Gerätezustände: Wechselrichter- und Ladebetrieb, Netzstatus sowie Eingangsstrombegrenzung. Der </w:t>
      </w:r>
      <w:proofErr w:type="spellStart"/>
      <w:r w:rsidRPr="00060741">
        <w:rPr>
          <w:rFonts w:cs="Arial"/>
        </w:rPr>
        <w:t>VE.Bus</w:t>
      </w:r>
      <w:proofErr w:type="spellEnd"/>
      <w:r w:rsidRPr="00060741">
        <w:rPr>
          <w:rFonts w:cs="Arial"/>
        </w:rPr>
        <w:t xml:space="preserve">-Anschluss des Cerbo GX besteht aus zwei parallel geschalteten, galvanisch isolierten RJ45-Buchsen </w:t>
      </w:r>
      <w:r w:rsidR="00222C03">
        <w:rPr>
          <w:rFonts w:cs="Arial"/>
        </w:rPr>
        <w:fldChar w:fldCharType="begin"/>
      </w:r>
      <w:r w:rsidR="00222C03">
        <w:rPr>
          <w:rFonts w:cs="Arial"/>
        </w:rPr>
        <w:instrText xml:space="preserve"> ADDIN ZOTERO_ITEM CSL_CITATION {"citationID":"ZkY9wGGg","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7678BAAE" w14:textId="4FB25019" w:rsidR="000D119C" w:rsidRPr="000D119C" w:rsidRDefault="00060741" w:rsidP="00060741">
      <w:pPr>
        <w:ind w:left="708"/>
        <w:jc w:val="both"/>
        <w:rPr>
          <w:rFonts w:cs="Arial"/>
        </w:rPr>
      </w:pPr>
      <w:r w:rsidRPr="00060741">
        <w:rPr>
          <w:rFonts w:cs="Arial"/>
        </w:rPr>
        <w:t xml:space="preserve">Für die externe Datenkommunikation verfügt der Cerbo GX über einen 10/100-RJ45-Ethernet-Anschluss sowie integriertes WLAN </w:t>
      </w:r>
      <w:r w:rsidR="00222C03">
        <w:rPr>
          <w:rFonts w:cs="Arial"/>
        </w:rPr>
        <w:fldChar w:fldCharType="begin"/>
      </w:r>
      <w:r w:rsidR="00222C03">
        <w:rPr>
          <w:rFonts w:cs="Arial"/>
        </w:rPr>
        <w:instrText xml:space="preserve"> ADDIN ZOTERO_ITEM CSL_CITATION {"citationID":"g5kGsJWd","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 Zur Datenbereitstellung wird MQTT genutzt, da dieses Protokoll eine einfachere Integration in die vorhandene Flutter-App ermöglicht als Modbus-TCP. Der Cerbo GX unterstützt Modbus-TCP zwar ebenfalls als standardisiertes Industrieprotokoll mit definierten Registeradressen</w:t>
      </w:r>
      <w:r w:rsidR="00222C03">
        <w:rPr>
          <w:rFonts w:cs="Arial"/>
        </w:rPr>
        <w:t xml:space="preserve"> </w:t>
      </w:r>
      <w:r w:rsidR="00222C03">
        <w:rPr>
          <w:rFonts w:cs="Arial"/>
        </w:rPr>
        <w:fldChar w:fldCharType="begin"/>
      </w:r>
      <w:r w:rsidR="00222C03">
        <w:rPr>
          <w:rFonts w:cs="Arial"/>
        </w:rPr>
        <w:instrText xml:space="preserve"> ADDIN ZOTERO_ITEM CSL_CITATION {"citationID":"v1zSDa8M","properties":{"formattedCitation":"[16]","plainCitation":"[16]","noteIndex":0},"citationItems":[{"id":43,"uris":["http://zotero.org/groups/6046789/items/Q89FY32W"],"itemData":{"id":43,"type":"webpage","title":"GX Modbus-TCP Manual [Victron Energy]","URL":"https://www.victronenergy.com/live/ccgx:modbustcp_faq","accessed":{"date-parts":[["2026",2,19]]}}}],"schema":"https://github.com/citation-style-language/schema/raw/master/csl-citation.json"} </w:instrText>
      </w:r>
      <w:r w:rsidR="00222C03">
        <w:rPr>
          <w:rFonts w:cs="Arial"/>
        </w:rPr>
        <w:fldChar w:fldCharType="separate"/>
      </w:r>
      <w:r w:rsidR="00222C03" w:rsidRPr="00222C03">
        <w:rPr>
          <w:rFonts w:ascii="Aptos" w:hAnsi="Aptos"/>
        </w:rPr>
        <w:t>[16]</w:t>
      </w:r>
      <w:r w:rsidR="00222C03">
        <w:rPr>
          <w:rFonts w:cs="Arial"/>
        </w:rPr>
        <w:fldChar w:fldCharType="end"/>
      </w:r>
      <w:r w:rsidRPr="00060741">
        <w:rPr>
          <w:rFonts w:cs="Arial"/>
        </w:rPr>
        <w:t>, jedoch wurde es für dieses System nicht aktiviert.</w:t>
      </w:r>
    </w:p>
    <w:p w14:paraId="333558A8" w14:textId="55E96947" w:rsidR="00D64B2E" w:rsidRPr="00D64B2E" w:rsidRDefault="00D64B2E" w:rsidP="000D119C">
      <w:pPr>
        <w:pStyle w:val="berschrift2"/>
      </w:pPr>
      <w:bookmarkStart w:id="27" w:name="_Toc222767614"/>
      <w:r w:rsidRPr="00D64B2E">
        <w:t>4.6.2 Cerbo GX als zentrale Monitoring-Einheit</w:t>
      </w:r>
      <w:bookmarkEnd w:id="27"/>
    </w:p>
    <w:p w14:paraId="68DA2D24" w14:textId="3F78C043" w:rsidR="00D64B2E" w:rsidRPr="00D64B2E" w:rsidRDefault="00BB1C15" w:rsidP="00BB1C15">
      <w:pPr>
        <w:ind w:left="708"/>
        <w:jc w:val="both"/>
        <w:rPr>
          <w:rFonts w:cs="Arial"/>
        </w:rPr>
      </w:pPr>
      <w:r w:rsidRPr="00BB1C15">
        <w:rPr>
          <w:rFonts w:cs="Arial"/>
        </w:rPr>
        <w:t>Der Cerbo GX erfasst kontinuierlich alle energierelevanten Messgrößen des Systems: Batteriespannung, -strom, Ladezustand, PV-Leistung, Netzbezug sowie den Betriebszustand des MultiPlus. Die Versorgungsspannung liegt im Bereich von 8 bis 70</w:t>
      </w:r>
      <w:r w:rsidR="00105A36">
        <w:rPr>
          <w:rFonts w:cs="Arial"/>
        </w:rPr>
        <w:t> </w:t>
      </w:r>
      <w:r w:rsidRPr="00BB1C15">
        <w:rPr>
          <w:rFonts w:cs="Arial"/>
        </w:rPr>
        <w:t>V</w:t>
      </w:r>
      <w:r w:rsidR="00105A36">
        <w:rPr>
          <w:rFonts w:cs="Arial"/>
        </w:rPr>
        <w:t> </w:t>
      </w:r>
      <w:r w:rsidRPr="00BB1C15">
        <w:rPr>
          <w:rFonts w:cs="Arial"/>
        </w:rPr>
        <w:t>DC, wodurch eine direkte Einspeisung aus dem 12-V-Systembus möglich ist. Die Leistungsaufnahme beträgt 2,8</w:t>
      </w:r>
      <w:r w:rsidR="00105A36">
        <w:rPr>
          <w:rFonts w:cs="Arial"/>
        </w:rPr>
        <w:t> </w:t>
      </w:r>
      <w:r w:rsidRPr="00BB1C15">
        <w:rPr>
          <w:rFonts w:cs="Arial"/>
        </w:rPr>
        <w:t>W bei 12</w:t>
      </w:r>
      <w:r w:rsidR="00105A36">
        <w:rPr>
          <w:rFonts w:cs="Arial"/>
        </w:rPr>
        <w:t> </w:t>
      </w:r>
      <w:r w:rsidRPr="00BB1C15">
        <w:rPr>
          <w:rFonts w:cs="Arial"/>
        </w:rPr>
        <w:t>V ohne Display, mit dem GX Touch 50 steigt sie auf 3,8</w:t>
      </w:r>
      <w:r w:rsidR="00105A36">
        <w:rPr>
          <w:rFonts w:cs="Arial"/>
        </w:rPr>
        <w:t> </w:t>
      </w:r>
      <w:r w:rsidRPr="00BB1C15">
        <w:rPr>
          <w:rFonts w:cs="Arial"/>
        </w:rPr>
        <w:t>W bzw. bis zu 4,8</w:t>
      </w:r>
      <w:r w:rsidR="00105A36">
        <w:rPr>
          <w:rFonts w:cs="Arial"/>
        </w:rPr>
        <w:t> </w:t>
      </w:r>
      <w:r w:rsidRPr="00BB1C15">
        <w:rPr>
          <w:rFonts w:cs="Arial"/>
        </w:rPr>
        <w:t xml:space="preserve">W bei maximaler Helligkeit </w:t>
      </w:r>
      <w:r w:rsidR="00222C03">
        <w:rPr>
          <w:rFonts w:cs="Arial"/>
        </w:rPr>
        <w:fldChar w:fldCharType="begin"/>
      </w:r>
      <w:r w:rsidR="00222C03">
        <w:rPr>
          <w:rFonts w:cs="Arial"/>
        </w:rPr>
        <w:instrText xml:space="preserve"> ADDIN ZOTERO_ITEM CSL_CITATION {"citationID":"g2WcC45E","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BB1C15">
        <w:rPr>
          <w:rFonts w:cs="Arial"/>
        </w:rPr>
        <w:t xml:space="preserve">. Die lokale Visualisierung erfolgt über den </w:t>
      </w:r>
      <w:proofErr w:type="gramStart"/>
      <w:r w:rsidRPr="00BB1C15">
        <w:rPr>
          <w:rFonts w:cs="Arial"/>
        </w:rPr>
        <w:t>GX Touch</w:t>
      </w:r>
      <w:proofErr w:type="gramEnd"/>
      <w:r w:rsidRPr="00BB1C15">
        <w:rPr>
          <w:rFonts w:cs="Arial"/>
        </w:rPr>
        <w:t xml:space="preserve"> 50.</w:t>
      </w:r>
    </w:p>
    <w:p w14:paraId="1502BE49" w14:textId="77777777" w:rsidR="00D64B2E" w:rsidRPr="00D64B2E" w:rsidRDefault="00D64B2E" w:rsidP="00686CB9">
      <w:pPr>
        <w:pStyle w:val="berschrift2"/>
      </w:pPr>
      <w:bookmarkStart w:id="28" w:name="_Toc222767615"/>
      <w:r w:rsidRPr="00D64B2E">
        <w:t>4.6.3 Hardwareseitiges Lastmanagement im MultiPlus</w:t>
      </w:r>
      <w:bookmarkEnd w:id="28"/>
    </w:p>
    <w:p w14:paraId="193B3302" w14:textId="44066F88" w:rsidR="00D64B2E" w:rsidRPr="00D64B2E" w:rsidRDefault="00BB1C15" w:rsidP="00686CB9">
      <w:pPr>
        <w:ind w:left="708"/>
        <w:jc w:val="both"/>
        <w:rPr>
          <w:rFonts w:cs="Arial"/>
        </w:rPr>
      </w:pPr>
      <w:r w:rsidRPr="00BB1C15">
        <w:rPr>
          <w:rFonts w:cs="Arial"/>
        </w:rPr>
        <w:t xml:space="preserve">Das Lastmanagement wird hardwareseitig durch den MultiPlus 12/800 realisiert. Konfiguriert wurde er mit den von Victron Energy vorgesehenen Tools </w:t>
      </w:r>
      <w:proofErr w:type="spellStart"/>
      <w:r w:rsidRPr="00BB1C15">
        <w:rPr>
          <w:rFonts w:cs="Arial"/>
        </w:rPr>
        <w:t>VictronConnect</w:t>
      </w:r>
      <w:proofErr w:type="spellEnd"/>
      <w:r w:rsidRPr="00BB1C15">
        <w:rPr>
          <w:rFonts w:cs="Arial"/>
        </w:rPr>
        <w:t xml:space="preserve"> und </w:t>
      </w:r>
      <w:proofErr w:type="spellStart"/>
      <w:r w:rsidRPr="00BB1C15">
        <w:rPr>
          <w:rFonts w:cs="Arial"/>
        </w:rPr>
        <w:t>VE.Configure</w:t>
      </w:r>
      <w:proofErr w:type="spellEnd"/>
      <w:r w:rsidRPr="00BB1C15">
        <w:rPr>
          <w:rFonts w:cs="Arial"/>
        </w:rPr>
        <w:t>. Eingestellt wurden Unterspannungsabschaltung zum Schutz der AGM-Batterie, die batteriespezifische Ladekennlinie sowie die Eingangsstrombegrenzung des Netzanschlusses. Eine externe Steuereinheit ist für diese Schutzfunktionen nicht erforderlich.</w:t>
      </w:r>
    </w:p>
    <w:p w14:paraId="7192FDA8" w14:textId="77777777" w:rsidR="00D64B2E" w:rsidRPr="00D64B2E" w:rsidRDefault="00D64B2E" w:rsidP="00686CB9">
      <w:pPr>
        <w:pStyle w:val="berschrift2"/>
      </w:pPr>
      <w:bookmarkStart w:id="29" w:name="_Toc222767616"/>
      <w:r w:rsidRPr="00D64B2E">
        <w:lastRenderedPageBreak/>
        <w:t>4.6.4 Remote-Monitoring über das VRM-Portal</w:t>
      </w:r>
      <w:bookmarkEnd w:id="29"/>
    </w:p>
    <w:p w14:paraId="6ACE67B8" w14:textId="0F569F84" w:rsidR="00D64B2E" w:rsidRPr="00D64B2E" w:rsidRDefault="00BB1C15" w:rsidP="0052589C">
      <w:pPr>
        <w:ind w:left="708"/>
        <w:jc w:val="both"/>
        <w:rPr>
          <w:rFonts w:cs="Arial"/>
        </w:rPr>
      </w:pPr>
      <w:r w:rsidRPr="00BB1C15">
        <w:rPr>
          <w:rFonts w:cs="Arial"/>
        </w:rPr>
        <w:t>Über Ethernet oder WLAN ist der Cerbo GX mit dem VRM-Portal von Victron Energy verbunden. Das Portal speichert historische Systemdaten und ermöglicht die Fernüberwachung.</w:t>
      </w:r>
    </w:p>
    <w:p w14:paraId="56A4CE8B" w14:textId="76F00505" w:rsidR="00BB1C15" w:rsidRPr="00D130DC" w:rsidRDefault="00BB1C15" w:rsidP="00D130DC">
      <w:pPr>
        <w:tabs>
          <w:tab w:val="left" w:pos="1180"/>
        </w:tabs>
        <w:ind w:left="708"/>
        <w:jc w:val="both"/>
        <w:rPr>
          <w:rFonts w:cs="Arial"/>
        </w:rPr>
      </w:pPr>
    </w:p>
    <w:p w14:paraId="6F785347" w14:textId="77777777" w:rsidR="003A0571" w:rsidRDefault="003A0571" w:rsidP="003D6115">
      <w:pPr>
        <w:ind w:left="708"/>
        <w:jc w:val="both"/>
        <w:rPr>
          <w:rFonts w:cs="Arial"/>
        </w:rPr>
      </w:pPr>
    </w:p>
    <w:p w14:paraId="3169575A" w14:textId="77777777" w:rsidR="00D130DC" w:rsidRDefault="00D130DC" w:rsidP="00B9440E">
      <w:pPr>
        <w:pStyle w:val="berschrift1"/>
        <w:spacing w:before="0"/>
      </w:pPr>
      <w:bookmarkStart w:id="30" w:name="_Toc222767617"/>
      <w:r>
        <w:rPr>
          <w:rFonts w:eastAsia="Arial"/>
        </w:rPr>
        <w:t>4.7 Wirtschaftliche Analyse</w:t>
      </w:r>
      <w:bookmarkEnd w:id="30"/>
    </w:p>
    <w:p w14:paraId="325018BD" w14:textId="0A3027D2" w:rsidR="00ED5F49" w:rsidRPr="00ED5F49" w:rsidRDefault="00ED5F49" w:rsidP="00ED5F49">
      <w:pPr>
        <w:ind w:left="708"/>
        <w:jc w:val="both"/>
        <w:rPr>
          <w:rFonts w:cs="Arial"/>
        </w:rPr>
      </w:pPr>
      <w:r w:rsidRPr="00ED5F49">
        <w:rPr>
          <w:rFonts w:cs="Arial"/>
        </w:rPr>
        <w:t xml:space="preserve">In diesem Kapitel wird untersucht, ob und wie schnell sich eine Investition in ein PV-basiertes Energiesystem für Gewächshausanwendungen wirtschaftlich rechnet. Da der entwickelte Prototyp primär als Test- und Demonstrationssystem konzipiert wurde und nicht auf Wirtschaftlichkeit ausgelegt ist, wäre es </w:t>
      </w:r>
      <w:r w:rsidR="001658BC">
        <w:rPr>
          <w:rFonts w:cs="Arial"/>
        </w:rPr>
        <w:t>nicht</w:t>
      </w:r>
      <w:r w:rsidRPr="00ED5F49">
        <w:rPr>
          <w:rFonts w:cs="Arial"/>
        </w:rPr>
        <w:t xml:space="preserve"> sinnvoll, ihn als Berechnungsgrundlage heranzuziehen. Aus diesem Grund wird im Folgenden ein Fallbeispiel auf Basis eines </w:t>
      </w:r>
      <w:r w:rsidR="00C6196E" w:rsidRPr="00ED5F49">
        <w:rPr>
          <w:rFonts w:cs="Arial"/>
        </w:rPr>
        <w:t xml:space="preserve">Gewächshauses </w:t>
      </w:r>
      <w:r w:rsidR="00C6196E">
        <w:rPr>
          <w:rFonts w:cs="Arial"/>
        </w:rPr>
        <w:t xml:space="preserve">mit </w:t>
      </w:r>
      <w:r w:rsidRPr="00ED5F49">
        <w:rPr>
          <w:rFonts w:cs="Arial"/>
        </w:rPr>
        <w:t>10</w:t>
      </w:r>
      <w:r>
        <w:rPr>
          <w:rFonts w:cs="Arial"/>
        </w:rPr>
        <w:t> </w:t>
      </w:r>
      <w:r w:rsidRPr="00ED5F49">
        <w:rPr>
          <w:rFonts w:cs="Arial"/>
        </w:rPr>
        <w:t>m²</w:t>
      </w:r>
      <w:r w:rsidR="00C6196E">
        <w:rPr>
          <w:rFonts w:cs="Arial"/>
        </w:rPr>
        <w:t xml:space="preserve"> Dachfläche</w:t>
      </w:r>
      <w:r w:rsidRPr="00ED5F49">
        <w:rPr>
          <w:rFonts w:cs="Arial"/>
        </w:rPr>
        <w:t xml:space="preserve"> verwendet</w:t>
      </w:r>
      <w:r w:rsidR="00DF1B0D">
        <w:rPr>
          <w:rFonts w:cs="Arial"/>
        </w:rPr>
        <w:t>.</w:t>
      </w:r>
    </w:p>
    <w:p w14:paraId="7DBEDFD3" w14:textId="77777777" w:rsidR="00173D73" w:rsidRDefault="00173D73" w:rsidP="00173D73">
      <w:pPr>
        <w:pStyle w:val="berschrift2"/>
      </w:pPr>
      <w:bookmarkStart w:id="31" w:name="_Toc222767618"/>
      <w:r>
        <w:rPr>
          <w:rFonts w:eastAsia="Arial"/>
        </w:rPr>
        <w:t>4.7.1 ROI-Berechnung des PV-Systems</w:t>
      </w:r>
      <w:bookmarkEnd w:id="31"/>
    </w:p>
    <w:p w14:paraId="069F3294" w14:textId="6C38FF05" w:rsidR="00D11011" w:rsidRPr="00D11011" w:rsidRDefault="00D11011" w:rsidP="00D11011">
      <w:pPr>
        <w:ind w:left="708"/>
        <w:jc w:val="both"/>
        <w:rPr>
          <w:rFonts w:cs="Arial"/>
        </w:rPr>
      </w:pPr>
      <w:r w:rsidRPr="00D11011">
        <w:rPr>
          <w:rFonts w:cs="Arial"/>
        </w:rPr>
        <w:t xml:space="preserve">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w:t>
      </w:r>
      <w:proofErr w:type="spellStart"/>
      <w:r w:rsidRPr="00D11011">
        <w:rPr>
          <w:rFonts w:cs="Arial"/>
        </w:rPr>
        <w:t>Stromsensorik</w:t>
      </w:r>
      <w:proofErr w:type="spellEnd"/>
      <w:r w:rsidRPr="00D11011">
        <w:rPr>
          <w:rFonts w:cs="Arial"/>
        </w:rPr>
        <w:t xml:space="preserve"> und Steuerungselektronik umfasst. Alle weiteren Systemkomponenten wie Klimaüberwachung, Bewässerung oder KI-gestützte Analyse werden separat bilanziert.</w:t>
      </w:r>
    </w:p>
    <w:p w14:paraId="24640759" w14:textId="40292C25" w:rsidR="00D11011" w:rsidRPr="00D11011" w:rsidRDefault="00D11011" w:rsidP="00D11011">
      <w:pPr>
        <w:ind w:left="708"/>
        <w:jc w:val="both"/>
        <w:rPr>
          <w:rFonts w:cs="Arial"/>
        </w:rPr>
      </w:pPr>
      <w:r w:rsidRPr="00D11011">
        <w:rPr>
          <w:rFonts w:cs="Arial"/>
        </w:rPr>
        <w:t>Gemäß aktuellen Branchenwerten werden für die Installation von 1</w:t>
      </w:r>
      <w:r w:rsidR="00A07A1A">
        <w:rPr>
          <w:rFonts w:cs="Arial"/>
        </w:rPr>
        <w:t> </w:t>
      </w:r>
      <w:r w:rsidRPr="00D11011">
        <w:rPr>
          <w:rFonts w:cs="Arial"/>
        </w:rPr>
        <w:t>kWp Photovoltaikleistung rund 5</w:t>
      </w:r>
      <w:r w:rsidR="00A07A1A">
        <w:rPr>
          <w:rFonts w:cs="Arial"/>
        </w:rPr>
        <w:t> </w:t>
      </w:r>
      <w:r w:rsidRPr="00D11011">
        <w:rPr>
          <w:rFonts w:cs="Arial"/>
        </w:rPr>
        <w:t xml:space="preserve">m² Dachfläche benötigt </w:t>
      </w:r>
      <w:r w:rsidR="00A07A1A">
        <w:rPr>
          <w:rFonts w:cs="Arial"/>
        </w:rPr>
        <w:fldChar w:fldCharType="begin"/>
      </w:r>
      <w:r w:rsidR="00A07A1A">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Für das Fallbeispiel wird vereinfachend eine nutzbare Dachfläche von 10</w:t>
      </w:r>
      <w:r w:rsidR="00A07A1A">
        <w:rPr>
          <w:rFonts w:cs="Arial"/>
        </w:rPr>
        <w:t> </w:t>
      </w:r>
      <w:r w:rsidRPr="00D11011">
        <w:rPr>
          <w:rFonts w:cs="Arial"/>
        </w:rPr>
        <w:t>m² angenommen. Daraus ergibt sich eine installierbare Leistung von etwa 2</w:t>
      </w:r>
      <w:r w:rsidR="00A07A1A">
        <w:rPr>
          <w:rFonts w:cs="Arial"/>
        </w:rPr>
        <w:t> </w:t>
      </w:r>
      <w:r w:rsidRPr="00D11011">
        <w:rPr>
          <w:rFonts w:cs="Arial"/>
        </w:rPr>
        <w:t xml:space="preserve">kWp </w:t>
      </w:r>
      <w:r w:rsidR="00A07A1A">
        <w:rPr>
          <w:rFonts w:cs="Arial"/>
        </w:rPr>
        <w:fldChar w:fldCharType="begin"/>
      </w:r>
      <w:r w:rsidR="00A07A1A">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Die Investitionskosten für PV-Anlagen inklusive Batteriespeicher liegen in Österreich im Jahr 2025 bei rund 2.000 bis 2.800</w:t>
      </w:r>
      <w:r w:rsidR="002B61A2">
        <w:rPr>
          <w:rFonts w:cs="Arial"/>
        </w:rPr>
        <w:t> Euro</w:t>
      </w:r>
      <w:r w:rsidRPr="00D11011">
        <w:rPr>
          <w:rFonts w:cs="Arial"/>
        </w:rPr>
        <w:t xml:space="preserve">/kWp </w:t>
      </w:r>
      <w:r w:rsidR="002B61A2">
        <w:rPr>
          <w:rFonts w:cs="Arial"/>
        </w:rPr>
        <w:fldChar w:fldCharType="begin"/>
      </w:r>
      <w:r w:rsidR="002B61A2">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2B61A2">
        <w:rPr>
          <w:rFonts w:ascii="Segoe UI Symbol" w:hAnsi="Segoe UI Symbol" w:cs="Segoe UI Symbol"/>
        </w:rPr>
        <w:instrText>➤</w:instrText>
      </w:r>
      <w:r w:rsidR="002B61A2">
        <w:rPr>
          <w:rFonts w:cs="Arial"/>
        </w:rPr>
        <w:instrText xml:space="preserve"> Mit dem interaktiven Photovoltaik Rechner zur optimalen Gr</w:instrText>
      </w:r>
      <w:r w:rsidR="002B61A2">
        <w:rPr>
          <w:rFonts w:ascii="Aptos" w:hAnsi="Aptos" w:cs="Aptos"/>
        </w:rPr>
        <w:instrText>öß</w:instrText>
      </w:r>
      <w:r w:rsidR="002B61A2">
        <w:rPr>
          <w:rFonts w:cs="Arial"/>
        </w:rPr>
        <w:instrText>e, Ausrichtung und Wirtschaftlichkeit.","language":"de","title":"Photovoltaik Kosten &amp; Ertrag inkl. PV Rechner - Salzburg AG f</w:instrText>
      </w:r>
      <w:r w:rsidR="002B61A2">
        <w:rPr>
          <w:rFonts w:ascii="Aptos" w:hAnsi="Aptos" w:cs="Aptos"/>
        </w:rPr>
        <w:instrText>ü</w:instrText>
      </w:r>
      <w:r w:rsidR="002B61A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2B61A2">
        <w:rPr>
          <w:rFonts w:cs="Arial"/>
        </w:rPr>
        <w:fldChar w:fldCharType="separate"/>
      </w:r>
      <w:r w:rsidR="002B61A2" w:rsidRPr="002B61A2">
        <w:rPr>
          <w:rFonts w:ascii="Aptos" w:hAnsi="Aptos"/>
        </w:rPr>
        <w:t>[17]</w:t>
      </w:r>
      <w:r w:rsidR="002B61A2">
        <w:rPr>
          <w:rFonts w:cs="Arial"/>
        </w:rPr>
        <w:fldChar w:fldCharType="end"/>
      </w:r>
      <w:r w:rsidRPr="00D11011">
        <w:rPr>
          <w:rFonts w:cs="Arial"/>
        </w:rPr>
        <w:t xml:space="preserve">, was für </w:t>
      </w:r>
      <w:r w:rsidR="002B61A2">
        <w:rPr>
          <w:rFonts w:cs="Arial"/>
        </w:rPr>
        <w:t>2 </w:t>
      </w:r>
      <w:r w:rsidRPr="00D11011">
        <w:rPr>
          <w:rFonts w:cs="Arial"/>
        </w:rPr>
        <w:t>kWp Gesamtkosten von 4.000 bis 5.600</w:t>
      </w:r>
      <w:r w:rsidR="002B61A2">
        <w:rPr>
          <w:rFonts w:cs="Arial"/>
        </w:rPr>
        <w:t> </w:t>
      </w:r>
      <w:r w:rsidRPr="00D11011">
        <w:rPr>
          <w:rFonts w:cs="Arial"/>
        </w:rPr>
        <w:t>Euro ergibt. Für die weitere Berechnung wird der Mittelwert von 4.800</w:t>
      </w:r>
      <w:r w:rsidR="002B61A2">
        <w:rPr>
          <w:rFonts w:cs="Arial"/>
        </w:rPr>
        <w:t> </w:t>
      </w:r>
      <w:r w:rsidRPr="00D11011">
        <w:rPr>
          <w:rFonts w:cs="Arial"/>
        </w:rPr>
        <w:t>Euro verwendet.</w:t>
      </w:r>
    </w:p>
    <w:p w14:paraId="2C7AA1EC" w14:textId="47931166" w:rsidR="00D11011" w:rsidRPr="00D11011" w:rsidRDefault="00D11011" w:rsidP="00D11011">
      <w:pPr>
        <w:ind w:left="708"/>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sidR="002B61A2">
        <w:rPr>
          <w:rFonts w:cs="Arial"/>
        </w:rPr>
        <w:fldChar w:fldCharType="begin"/>
      </w:r>
      <w:r w:rsidR="002B61A2">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2B61A2">
        <w:rPr>
          <w:rFonts w:cs="Arial"/>
        </w:rPr>
        <w:fldChar w:fldCharType="separate"/>
      </w:r>
      <w:r w:rsidR="002B61A2" w:rsidRPr="002B61A2">
        <w:rPr>
          <w:rFonts w:ascii="Aptos" w:hAnsi="Aptos"/>
        </w:rPr>
        <w:t>[18]</w:t>
      </w:r>
      <w:r w:rsidR="002B61A2">
        <w:rPr>
          <w:rFonts w:cs="Arial"/>
        </w:rPr>
        <w:fldChar w:fldCharType="end"/>
      </w:r>
      <w:r w:rsidRPr="00D11011">
        <w:rPr>
          <w:rFonts w:cs="Arial"/>
        </w:rPr>
        <w:t>. Bei 2</w:t>
      </w:r>
      <w:r w:rsidR="002B61A2">
        <w:rPr>
          <w:rFonts w:cs="Arial"/>
        </w:rPr>
        <w:t> </w:t>
      </w:r>
      <w:r w:rsidRPr="00D11011">
        <w:rPr>
          <w:rFonts w:cs="Arial"/>
        </w:rPr>
        <w:t>kWp installierter Leistung ergibt sich damit eine tägliche Energieerzeugung von rund 11,3</w:t>
      </w:r>
      <w:r w:rsidR="002B61A2">
        <w:rPr>
          <w:rFonts w:cs="Arial"/>
        </w:rPr>
        <w:t> </w:t>
      </w:r>
      <w:r w:rsidRPr="00D11011">
        <w:rPr>
          <w:rFonts w:cs="Arial"/>
        </w:rPr>
        <w:t>kWh (2.000</w:t>
      </w:r>
      <w:r w:rsidR="002B61A2">
        <w:rPr>
          <w:rFonts w:cs="Arial"/>
        </w:rPr>
        <w:t> </w:t>
      </w:r>
      <w:r w:rsidRPr="00D11011">
        <w:rPr>
          <w:rFonts w:cs="Arial"/>
        </w:rPr>
        <w:t>W × 5,66</w:t>
      </w:r>
      <w:r w:rsidR="002B61A2">
        <w:rPr>
          <w:rFonts w:cs="Arial"/>
        </w:rPr>
        <w:t> </w:t>
      </w:r>
      <w:r w:rsidRPr="00D11011">
        <w:rPr>
          <w:rFonts w:cs="Arial"/>
        </w:rPr>
        <w:t>h), hochgerechnet auf ein Jahr eine Gesamtenergie von ca. 4.132</w:t>
      </w:r>
      <w:r w:rsidR="002B61A2">
        <w:rPr>
          <w:rFonts w:cs="Arial"/>
        </w:rPr>
        <w:t> </w:t>
      </w:r>
      <w:r w:rsidRPr="00D11011">
        <w:rPr>
          <w:rFonts w:cs="Arial"/>
        </w:rPr>
        <w:t>kWh (11,3</w:t>
      </w:r>
      <w:r w:rsidR="002B61A2">
        <w:rPr>
          <w:rFonts w:cs="Arial"/>
        </w:rPr>
        <w:t>2 </w:t>
      </w:r>
      <w:r w:rsidRPr="00D11011">
        <w:rPr>
          <w:rFonts w:cs="Arial"/>
        </w:rPr>
        <w:t>kWh × 365</w:t>
      </w:r>
      <w:r w:rsidR="002B61A2">
        <w:rPr>
          <w:rFonts w:cs="Arial"/>
        </w:rPr>
        <w:t> </w:t>
      </w:r>
      <w:r w:rsidRPr="00D11011">
        <w:rPr>
          <w:rFonts w:cs="Arial"/>
        </w:rPr>
        <w:t>Tage).</w:t>
      </w:r>
    </w:p>
    <w:p w14:paraId="77A2A43C" w14:textId="6256F2E3" w:rsidR="00D11011" w:rsidRPr="00D11011" w:rsidRDefault="00D11011" w:rsidP="00D11011">
      <w:pPr>
        <w:ind w:left="708"/>
        <w:jc w:val="both"/>
        <w:rPr>
          <w:rFonts w:cs="Arial"/>
        </w:rPr>
      </w:pPr>
      <w:r w:rsidRPr="00D11011">
        <w:rPr>
          <w:rFonts w:cs="Arial"/>
        </w:rPr>
        <w:t xml:space="preserve">Allerdings schwankt die tatsächliche Tageserzeugung je nach Jahreszeit </w:t>
      </w:r>
      <w:r w:rsidR="00551D71">
        <w:rPr>
          <w:rFonts w:cs="Arial"/>
        </w:rPr>
        <w:t>deutlich</w:t>
      </w:r>
      <w:r w:rsidRPr="00D11011">
        <w:rPr>
          <w:rFonts w:cs="Arial"/>
        </w:rPr>
        <w:t>. Im Sommer (Juni bis August) stehen durchschnittlich rund 7,</w:t>
      </w:r>
      <w:r w:rsidR="00551D71">
        <w:rPr>
          <w:rFonts w:cs="Arial"/>
        </w:rPr>
        <w:t>3</w:t>
      </w:r>
      <w:r w:rsidRPr="00D11011">
        <w:rPr>
          <w:rFonts w:cs="Arial"/>
        </w:rPr>
        <w:t xml:space="preserve"> bis 8,0 Sonnenstunden pro Tag zur Verfügung, was einer täglichen Erzeugung von ca. 1</w:t>
      </w:r>
      <w:r w:rsidR="00551D71">
        <w:rPr>
          <w:rFonts w:cs="Arial"/>
        </w:rPr>
        <w:t>4</w:t>
      </w:r>
      <w:r w:rsidRPr="00D11011">
        <w:rPr>
          <w:rFonts w:cs="Arial"/>
        </w:rPr>
        <w:t>,</w:t>
      </w:r>
      <w:r w:rsidR="00551D71">
        <w:rPr>
          <w:rFonts w:cs="Arial"/>
        </w:rPr>
        <w:t>6</w:t>
      </w:r>
      <w:r w:rsidRPr="00D11011">
        <w:rPr>
          <w:rFonts w:cs="Arial"/>
        </w:rPr>
        <w:t xml:space="preserve"> bis 16,0</w:t>
      </w:r>
      <w:r w:rsidR="00551D71">
        <w:rPr>
          <w:rFonts w:cs="Arial"/>
        </w:rPr>
        <w:t> </w:t>
      </w:r>
      <w:r w:rsidRPr="00D11011">
        <w:rPr>
          <w:rFonts w:cs="Arial"/>
        </w:rPr>
        <w:t xml:space="preserve">kWh entspricht. Im Winter hingegen – insbesondere im Dezember – reduziert sich der Wert auf </w:t>
      </w:r>
      <w:r w:rsidR="00551D71">
        <w:rPr>
          <w:rFonts w:cs="Arial"/>
        </w:rPr>
        <w:t>ca.</w:t>
      </w:r>
      <w:r w:rsidRPr="00D11011">
        <w:rPr>
          <w:rFonts w:cs="Arial"/>
        </w:rPr>
        <w:t xml:space="preserve"> 3 Sonnenstunden pro Tag </w:t>
      </w:r>
      <w:r w:rsidR="00551D71">
        <w:rPr>
          <w:rFonts w:cs="Arial"/>
        </w:rPr>
        <w:fldChar w:fldCharType="begin"/>
      </w:r>
      <w:r w:rsidR="00551D71">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551D71">
        <w:rPr>
          <w:rFonts w:cs="Arial"/>
        </w:rPr>
        <w:fldChar w:fldCharType="separate"/>
      </w:r>
      <w:r w:rsidR="00551D71" w:rsidRPr="00551D71">
        <w:rPr>
          <w:rFonts w:ascii="Aptos" w:hAnsi="Aptos"/>
        </w:rPr>
        <w:t>[18]</w:t>
      </w:r>
      <w:r w:rsidR="00551D71">
        <w:rPr>
          <w:rFonts w:cs="Arial"/>
        </w:rPr>
        <w:fldChar w:fldCharType="end"/>
      </w:r>
      <w:r w:rsidRPr="00D11011">
        <w:rPr>
          <w:rFonts w:cs="Arial"/>
        </w:rPr>
        <w:t xml:space="preserve">, was einer täglichen Erzeugung von lediglich ca. </w:t>
      </w:r>
      <w:r w:rsidR="00551D71">
        <w:rPr>
          <w:rFonts w:cs="Arial"/>
        </w:rPr>
        <w:t>6</w:t>
      </w:r>
      <w:r w:rsidRPr="00D11011">
        <w:rPr>
          <w:rFonts w:cs="Arial"/>
        </w:rPr>
        <w:t>,0</w:t>
      </w:r>
      <w:r w:rsidR="001462B2">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35839945" w14:textId="7A252E26" w:rsidR="00D11011" w:rsidRPr="00D11011" w:rsidRDefault="00D11011" w:rsidP="00D11011">
      <w:pPr>
        <w:ind w:left="708"/>
        <w:jc w:val="both"/>
        <w:rPr>
          <w:rFonts w:cs="Arial"/>
        </w:rPr>
      </w:pPr>
      <w:r w:rsidRPr="00D11011">
        <w:rPr>
          <w:rFonts w:cs="Arial"/>
        </w:rPr>
        <w:t xml:space="preserve">Der österreichische Endkundenstrompreis liegt bei rund 0,20 </w:t>
      </w:r>
      <w:r w:rsidR="00DA5809">
        <w:rPr>
          <w:rFonts w:cs="Arial"/>
        </w:rPr>
        <w:t>bis</w:t>
      </w:r>
      <w:r w:rsidRPr="00D11011">
        <w:rPr>
          <w:rFonts w:cs="Arial"/>
        </w:rPr>
        <w:t xml:space="preserve"> 0,30</w:t>
      </w:r>
      <w:r w:rsidR="00DA5809">
        <w:rPr>
          <w:rFonts w:cs="Arial"/>
        </w:rPr>
        <w:t> </w:t>
      </w:r>
      <w:r w:rsidRPr="00D11011">
        <w:rPr>
          <w:rFonts w:cs="Arial"/>
        </w:rPr>
        <w:t xml:space="preserve">Euro/kWh inklusive Netzkosten, Abgaben und Steuern </w:t>
      </w:r>
      <w:r w:rsidR="00DA5809">
        <w:rPr>
          <w:rFonts w:cs="Arial"/>
        </w:rPr>
        <w:fldChar w:fldCharType="begin"/>
      </w:r>
      <w:r w:rsidR="00DA5809">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DA5809">
        <w:rPr>
          <w:rFonts w:cs="Arial"/>
        </w:rPr>
        <w:fldChar w:fldCharType="separate"/>
      </w:r>
      <w:r w:rsidR="00DA5809" w:rsidRPr="00DA5809">
        <w:rPr>
          <w:rFonts w:ascii="Aptos" w:hAnsi="Aptos"/>
        </w:rPr>
        <w:t>[19]</w:t>
      </w:r>
      <w:r w:rsidR="00DA5809">
        <w:rPr>
          <w:rFonts w:cs="Arial"/>
        </w:rPr>
        <w:fldChar w:fldCharType="end"/>
      </w:r>
      <w:r w:rsidRPr="00D11011">
        <w:rPr>
          <w:rFonts w:cs="Arial"/>
        </w:rPr>
        <w:t xml:space="preserve">. Als Mittelwert wird für die Berechnung </w:t>
      </w:r>
      <w:r w:rsidR="00DA5809">
        <w:rPr>
          <w:rFonts w:cs="Arial"/>
        </w:rPr>
        <w:t xml:space="preserve">wird </w:t>
      </w:r>
      <w:r w:rsidRPr="00D11011">
        <w:rPr>
          <w:rFonts w:cs="Arial"/>
        </w:rPr>
        <w:t xml:space="preserve">ein </w:t>
      </w:r>
      <w:r w:rsidRPr="00D11011">
        <w:rPr>
          <w:rFonts w:cs="Arial"/>
        </w:rPr>
        <w:lastRenderedPageBreak/>
        <w:t>Preis von 0,25</w:t>
      </w:r>
      <w:r w:rsidR="00DA5809">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sidR="001462B2">
        <w:rPr>
          <w:rFonts w:cs="Arial"/>
        </w:rPr>
        <w:t> </w:t>
      </w:r>
      <w:r w:rsidRPr="00D11011">
        <w:rPr>
          <w:rFonts w:cs="Arial"/>
        </w:rPr>
        <w:t xml:space="preserve">% </w:t>
      </w:r>
      <w:r w:rsidR="001462B2">
        <w:rPr>
          <w:rFonts w:cs="Arial"/>
        </w:rPr>
        <w:fldChar w:fldCharType="begin"/>
      </w:r>
      <w:r w:rsidR="001462B2">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1462B2">
        <w:rPr>
          <w:rFonts w:ascii="Segoe UI Symbol" w:hAnsi="Segoe UI Symbol" w:cs="Segoe UI Symbol"/>
        </w:rPr>
        <w:instrText>➤</w:instrText>
      </w:r>
      <w:r w:rsidR="001462B2">
        <w:rPr>
          <w:rFonts w:cs="Arial"/>
        </w:rPr>
        <w:instrText xml:space="preserve"> Mit dem interaktiven Photovoltaik Rechner zur optimalen Gr</w:instrText>
      </w:r>
      <w:r w:rsidR="001462B2">
        <w:rPr>
          <w:rFonts w:ascii="Aptos" w:hAnsi="Aptos" w:cs="Aptos"/>
        </w:rPr>
        <w:instrText>öß</w:instrText>
      </w:r>
      <w:r w:rsidR="001462B2">
        <w:rPr>
          <w:rFonts w:cs="Arial"/>
        </w:rPr>
        <w:instrText>e, Ausrichtung und Wirtschaftlichkeit.","language":"de","title":"Photovoltaik Kosten &amp; Ertrag inkl. PV Rechner - Salzburg AG f</w:instrText>
      </w:r>
      <w:r w:rsidR="001462B2">
        <w:rPr>
          <w:rFonts w:ascii="Aptos" w:hAnsi="Aptos" w:cs="Aptos"/>
        </w:rPr>
        <w:instrText>ü</w:instrText>
      </w:r>
      <w:r w:rsidR="001462B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1462B2">
        <w:rPr>
          <w:rFonts w:cs="Arial"/>
        </w:rPr>
        <w:fldChar w:fldCharType="separate"/>
      </w:r>
      <w:r w:rsidR="001462B2" w:rsidRPr="001462B2">
        <w:rPr>
          <w:rFonts w:ascii="Aptos" w:hAnsi="Aptos"/>
        </w:rPr>
        <w:t>[17]</w:t>
      </w:r>
      <w:r w:rsidR="001462B2">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sidR="001462B2">
        <w:rPr>
          <w:rFonts w:cs="Arial"/>
        </w:rPr>
        <w:t> </w:t>
      </w:r>
      <w:r w:rsidRPr="00D11011">
        <w:rPr>
          <w:rFonts w:cs="Arial"/>
        </w:rPr>
        <w:t>Euro (4.132</w:t>
      </w:r>
      <w:r w:rsidR="001462B2">
        <w:rPr>
          <w:rFonts w:cs="Arial"/>
        </w:rPr>
        <w:t> </w:t>
      </w:r>
      <w:r w:rsidRPr="00D11011">
        <w:rPr>
          <w:rFonts w:cs="Arial"/>
        </w:rPr>
        <w:t>kWh × 0,25</w:t>
      </w:r>
      <w:r w:rsidR="001462B2">
        <w:rPr>
          <w:rFonts w:cs="Arial"/>
        </w:rPr>
        <w:t> </w:t>
      </w:r>
      <w:r w:rsidRPr="00D11011">
        <w:rPr>
          <w:rFonts w:cs="Arial"/>
        </w:rPr>
        <w:t>Euro/kWh).</w:t>
      </w:r>
    </w:p>
    <w:p w14:paraId="149BAF21" w14:textId="77777777" w:rsidR="00D11011" w:rsidRPr="00D11011" w:rsidRDefault="00D11011" w:rsidP="00D11011">
      <w:pPr>
        <w:ind w:left="708"/>
        <w:jc w:val="both"/>
        <w:rPr>
          <w:rFonts w:cs="Arial"/>
        </w:rPr>
      </w:pPr>
      <w:r w:rsidRPr="00D11011">
        <w:rPr>
          <w:rFonts w:cs="Arial"/>
        </w:rPr>
        <w:t>Der ROI berechnet sich aus dem Verhältnis zwischen dem jährlichen Nutzen und der Gesamtinvestition:</w:t>
      </w:r>
    </w:p>
    <w:p w14:paraId="339A4E45" w14:textId="67CA09EF" w:rsidR="00D11011" w:rsidRPr="00D11011" w:rsidRDefault="00D11011" w:rsidP="00D11011">
      <w:pPr>
        <w:ind w:left="708"/>
        <w:jc w:val="both"/>
        <w:rPr>
          <w:rFonts w:cs="Arial"/>
        </w:rPr>
      </w:pPr>
      <w:r w:rsidRPr="00D11011">
        <w:rPr>
          <w:rFonts w:cs="Arial"/>
        </w:rPr>
        <w:t>ROI = (jährlicher Nutzen / Investition) × 100 = (1.033 / 4.800) × 100 ≈ 21,5</w:t>
      </w:r>
      <w:r w:rsidR="001462B2">
        <w:rPr>
          <w:rFonts w:cs="Arial"/>
        </w:rPr>
        <w:t> </w:t>
      </w:r>
      <w:r w:rsidRPr="00D11011">
        <w:rPr>
          <w:rFonts w:cs="Arial"/>
        </w:rPr>
        <w:t>%</w:t>
      </w:r>
    </w:p>
    <w:p w14:paraId="295B3E0C" w14:textId="64DB7728" w:rsidR="002F2F14" w:rsidRPr="002F2F14" w:rsidRDefault="00D11011" w:rsidP="00AB5BFB">
      <w:pPr>
        <w:ind w:left="708"/>
        <w:jc w:val="both"/>
        <w:rPr>
          <w:rFonts w:cs="Arial"/>
        </w:rPr>
      </w:pPr>
      <w:r w:rsidRPr="00D11011">
        <w:rPr>
          <w:rFonts w:cs="Arial"/>
        </w:rPr>
        <w:t xml:space="preserve">Die durchschnittliche jährliche Kapitalrendite liegt damit bei </w:t>
      </w:r>
      <w:r w:rsidR="001462B2">
        <w:rPr>
          <w:rFonts w:cs="Arial"/>
        </w:rPr>
        <w:t>ca.</w:t>
      </w:r>
      <w:r w:rsidRPr="00D11011">
        <w:rPr>
          <w:rFonts w:cs="Arial"/>
        </w:rPr>
        <w:t xml:space="preserve"> 21,5</w:t>
      </w:r>
      <w:r w:rsidR="001462B2">
        <w:rPr>
          <w:rFonts w:cs="Arial"/>
        </w:rPr>
        <w:t> </w:t>
      </w:r>
      <w:r w:rsidRPr="00D11011">
        <w:rPr>
          <w:rFonts w:cs="Arial"/>
        </w:rPr>
        <w:t>%.</w:t>
      </w:r>
    </w:p>
    <w:p w14:paraId="07ECBB28" w14:textId="77777777" w:rsidR="009A557B" w:rsidRPr="009A557B" w:rsidRDefault="009A557B" w:rsidP="009A557B">
      <w:pPr>
        <w:pStyle w:val="berschrift2"/>
      </w:pPr>
      <w:bookmarkStart w:id="32" w:name="_Toc222767619"/>
      <w:r w:rsidRPr="009A557B">
        <w:t>4.7.2 Amortisationsrechnung und Vergleich: Insellösung versus Netzanbindung</w:t>
      </w:r>
      <w:bookmarkEnd w:id="32"/>
    </w:p>
    <w:p w14:paraId="11B0CA54" w14:textId="543E91D1" w:rsidR="00D11012" w:rsidRPr="00D11012" w:rsidRDefault="00D11012" w:rsidP="00D11012">
      <w:pPr>
        <w:ind w:left="708"/>
        <w:jc w:val="both"/>
        <w:rPr>
          <w:rFonts w:cs="Arial"/>
        </w:rPr>
      </w:pPr>
      <w:r w:rsidRPr="00D11012">
        <w:rPr>
          <w:rFonts w:cs="Arial"/>
        </w:rPr>
        <w:t>Die einfache Amortisationszeit ohne Berücksichtigung von Preissteigerungen beträgt:</w:t>
      </w:r>
    </w:p>
    <w:p w14:paraId="464EA639" w14:textId="7145DF79" w:rsidR="00D11012" w:rsidRPr="00D11012" w:rsidRDefault="00D11012" w:rsidP="00D11012">
      <w:pPr>
        <w:ind w:left="708"/>
        <w:jc w:val="both"/>
        <w:rPr>
          <w:rFonts w:cs="Arial"/>
        </w:rPr>
      </w:pPr>
      <w:r w:rsidRPr="00D11012">
        <w:rPr>
          <w:rFonts w:cs="Arial"/>
        </w:rPr>
        <w:t>Amortisationszeit = Investition / jährliche Einsparung = 4.800</w:t>
      </w:r>
      <w:r w:rsidR="00D343F6">
        <w:rPr>
          <w:rFonts w:cs="Arial"/>
        </w:rPr>
        <w:t> </w:t>
      </w:r>
      <w:r w:rsidRPr="00D11012">
        <w:rPr>
          <w:rFonts w:cs="Arial"/>
        </w:rPr>
        <w:t>Euro / 1.033</w:t>
      </w:r>
      <w:r w:rsidR="00D343F6">
        <w:rPr>
          <w:rFonts w:cs="Arial"/>
        </w:rPr>
        <w:t> </w:t>
      </w:r>
      <w:r w:rsidRPr="00D11012">
        <w:rPr>
          <w:rFonts w:cs="Arial"/>
        </w:rPr>
        <w:t>Euro ≈ 4,6</w:t>
      </w:r>
      <w:r w:rsidR="00D343F6">
        <w:rPr>
          <w:rFonts w:cs="Arial"/>
        </w:rPr>
        <w:t> </w:t>
      </w:r>
      <w:r w:rsidRPr="00D11012">
        <w:rPr>
          <w:rFonts w:cs="Arial"/>
        </w:rPr>
        <w:t>Jahre</w:t>
      </w:r>
    </w:p>
    <w:p w14:paraId="524BAAE7" w14:textId="43E2924F" w:rsidR="00D11012" w:rsidRPr="00D11012" w:rsidRDefault="00D11012" w:rsidP="00D11012">
      <w:pPr>
        <w:ind w:left="708"/>
        <w:jc w:val="both"/>
        <w:rPr>
          <w:rFonts w:cs="Arial"/>
        </w:rPr>
      </w:pPr>
      <w:r w:rsidRPr="00D11012">
        <w:rPr>
          <w:rFonts w:cs="Arial"/>
        </w:rPr>
        <w:t xml:space="preserve">Berücksichtigt man, dass die österreichischen Großhandelspreise für Strom laut Austrian Energy Agency im Februar 2026 gegenüber dem Vorjahr um rund 3,7 % gestiegen sind </w:t>
      </w:r>
      <w:r w:rsidR="003B62FE">
        <w:rPr>
          <w:rFonts w:cs="Arial"/>
        </w:rPr>
        <w:fldChar w:fldCharType="begin"/>
      </w:r>
      <w:r w:rsidR="003B62FE">
        <w:rPr>
          <w:rFonts w:cs="Arial"/>
        </w:rPr>
        <w:instrText xml:space="preserve"> ADDIN ZOTERO_ITEM CSL_CITATION {"citationID":"0lF3jZsW","properties":{"formattedCitation":"[19]","plainCitation":"[19]","noteIndex":0},"citationItems":[{"id":47,"uris":["http://zotero.org/groups/6046789/items/WU7N8NWY"],"itemData":{"id":47,"type":"webpage","title":"Strompreisindizes: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3B62FE">
        <w:rPr>
          <w:rFonts w:cs="Arial"/>
        </w:rPr>
        <w:fldChar w:fldCharType="separate"/>
      </w:r>
      <w:r w:rsidR="003B62FE" w:rsidRPr="003B62FE">
        <w:rPr>
          <w:rFonts w:ascii="Aptos" w:hAnsi="Aptos"/>
        </w:rPr>
        <w:t>[19]</w:t>
      </w:r>
      <w:r w:rsidR="003B62FE">
        <w:rPr>
          <w:rFonts w:cs="Arial"/>
        </w:rPr>
        <w:fldChar w:fldCharType="end"/>
      </w:r>
      <w:r w:rsidRPr="00D11012">
        <w:rPr>
          <w:rFonts w:cs="Arial"/>
        </w:rPr>
        <w:t>, ist davon auszugehen, dass auch die Endkundenpreise mittelfristig weiter steigen werden – wenn auch gedämpft durch stabile Netzgebühr- und Steueranteile. Steigende Endkundenpreise würden die jährliche Einsparung erhöhen und die effektive Amortisationszeit gegenüber dem berechneten Wert von 4,6 Jahren weiter verkürzen.</w:t>
      </w:r>
    </w:p>
    <w:tbl>
      <w:tblPr>
        <w:tblpPr w:leftFromText="141" w:rightFromText="141" w:vertAnchor="text" w:horzAnchor="page" w:tblpXSpec="center" w:tblpY="1073"/>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D11012" w:rsidRPr="00D11012" w14:paraId="5F0D6625"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38E34B71"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Kriterium</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02D1F4B6"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Insellösung</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4BA5A89B"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Hybridsystem</w:t>
            </w:r>
          </w:p>
        </w:tc>
        <w:tc>
          <w:tcPr>
            <w:tcW w:w="2426"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2D422EE2"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Netzeinspeisung</w:t>
            </w:r>
          </w:p>
        </w:tc>
      </w:tr>
      <w:tr w:rsidR="00D11012" w:rsidRPr="00D11012" w14:paraId="3ACA8AD9"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495AD"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Investition (2 kWp)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EC778" w14:textId="75F13D33"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71438" w14:textId="383BDEA6"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F8914" w14:textId="3D2A3C78"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2.000–3.600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39BCFD0C"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D84B9" w14:textId="77777777" w:rsidR="00D11012" w:rsidRPr="00031E80" w:rsidRDefault="00D11012" w:rsidP="00D343F6">
            <w:pPr>
              <w:spacing w:after="0" w:line="240" w:lineRule="auto"/>
              <w:jc w:val="center"/>
              <w:rPr>
                <w:rFonts w:eastAsia="Arial" w:cs="Arial"/>
                <w:kern w:val="0"/>
                <w:lang w:eastAsia="de-AT"/>
                <w14:ligatures w14:val="none"/>
              </w:rPr>
            </w:pPr>
            <w:proofErr w:type="spellStart"/>
            <w:r w:rsidRPr="00031E80">
              <w:rPr>
                <w:rFonts w:eastAsia="Arial" w:cs="Arial"/>
                <w:color w:val="000000"/>
                <w:kern w:val="0"/>
                <w:lang w:eastAsia="de-AT"/>
                <w14:ligatures w14:val="none"/>
              </w:rPr>
              <w:t>Jährl</w:t>
            </w:r>
            <w:proofErr w:type="spellEnd"/>
            <w:r w:rsidRPr="00031E80">
              <w:rPr>
                <w:rFonts w:eastAsia="Arial" w:cs="Arial"/>
                <w:color w:val="000000"/>
                <w:kern w:val="0"/>
                <w:lang w:eastAsia="de-AT"/>
                <w14:ligatures w14:val="none"/>
              </w:rPr>
              <w:t>. Einsparung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9512C" w14:textId="1E24A57D"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BE605" w14:textId="0BF9EC3F"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409E8" w14:textId="02EADF69"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250–455</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204D6A56"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48130"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Amortisation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E162" w14:textId="412CB659"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F495D" w14:textId="4DBC9454"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E49AF" w14:textId="671BA670"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11–19</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r>
      <w:tr w:rsidR="00D11012" w:rsidRPr="00D11012" w14:paraId="55812BAD"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51BB7"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Versorgungssicherheit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51757"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Batterieabhängig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D58F8"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Hoch (Netz als Backup)</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DAFF4D"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Vollständig</w:t>
            </w:r>
          </w:p>
        </w:tc>
      </w:tr>
      <w:tr w:rsidR="00D11012" w:rsidRPr="00D11012" w14:paraId="635970E7"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6BAE"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Netzgebühren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0D843"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Keine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56B50"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Reduziert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2C842"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Ja</w:t>
            </w:r>
          </w:p>
        </w:tc>
      </w:tr>
      <w:tr w:rsidR="00D11012" w:rsidRPr="00D11012" w14:paraId="0C57CB8A"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D4174"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Winterbetrieb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2CB"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Eingeschränkt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8DEC4"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6E7CF"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r>
      <w:tr w:rsidR="00D11012" w:rsidRPr="00D11012" w14:paraId="47CA9264"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830B8"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Vergütung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1D689"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041D9"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B1A3E" w14:textId="50EF05B9" w:rsidR="00D11012" w:rsidRPr="00031E80" w:rsidRDefault="00482B2F" w:rsidP="003A1A4D">
            <w:pPr>
              <w:keepNext/>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w:t>
            </w:r>
            <w:r w:rsidR="00D11012" w:rsidRPr="00031E80">
              <w:rPr>
                <w:rFonts w:eastAsia="Arial" w:cs="Arial"/>
                <w:color w:val="000000"/>
                <w:kern w:val="0"/>
                <w:lang w:eastAsia="de-AT"/>
                <w14:ligatures w14:val="none"/>
              </w:rPr>
              <w:t>–11</w:t>
            </w:r>
            <w:r w:rsidRPr="00031E80">
              <w:rPr>
                <w:rFonts w:eastAsia="Arial" w:cs="Arial"/>
                <w:color w:val="000000"/>
                <w:kern w:val="0"/>
                <w:lang w:eastAsia="de-AT"/>
                <w14:ligatures w14:val="none"/>
              </w:rPr>
              <w:t> </w:t>
            </w:r>
            <w:r w:rsidR="00D11012" w:rsidRPr="00031E80">
              <w:rPr>
                <w:rFonts w:eastAsia="Arial" w:cs="Arial"/>
                <w:color w:val="000000"/>
                <w:kern w:val="0"/>
                <w:lang w:eastAsia="de-AT"/>
                <w14:ligatures w14:val="none"/>
              </w:rPr>
              <w:t xml:space="preserve">ct/kWh </w:t>
            </w:r>
            <w:r w:rsidRPr="00031E80">
              <w:rPr>
                <w:rFonts w:eastAsia="Arial" w:cs="Arial"/>
                <w:color w:val="000000"/>
                <w:kern w:val="0"/>
                <w:lang w:eastAsia="de-AT"/>
                <w14:ligatures w14:val="none"/>
              </w:rPr>
              <w:fldChar w:fldCharType="begin"/>
            </w:r>
            <w:r w:rsidRPr="00031E80">
              <w:rPr>
                <w:rFonts w:eastAsia="Arial" w:cs="Arial"/>
                <w:color w:val="000000"/>
                <w:kern w:val="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Pr="00031E80">
              <w:rPr>
                <w:rFonts w:eastAsia="Arial" w:cs="Arial"/>
                <w:color w:val="000000"/>
                <w:kern w:val="0"/>
                <w:lang w:eastAsia="de-AT"/>
                <w14:ligatures w14:val="none"/>
              </w:rPr>
              <w:fldChar w:fldCharType="separate"/>
            </w:r>
            <w:r w:rsidRPr="00031E80">
              <w:rPr>
                <w:rFonts w:ascii="Aptos" w:hAnsi="Aptos"/>
              </w:rPr>
              <w:t>[20]</w:t>
            </w:r>
            <w:r w:rsidRPr="00031E80">
              <w:rPr>
                <w:rFonts w:eastAsia="Arial" w:cs="Arial"/>
                <w:color w:val="000000"/>
                <w:kern w:val="0"/>
                <w:lang w:eastAsia="de-AT"/>
                <w14:ligatures w14:val="none"/>
              </w:rPr>
              <w:fldChar w:fldCharType="end"/>
            </w:r>
          </w:p>
        </w:tc>
      </w:tr>
    </w:tbl>
    <w:p w14:paraId="3BE843B9" w14:textId="77777777" w:rsidR="00D11012" w:rsidRPr="00D11012" w:rsidRDefault="00D11012" w:rsidP="00D11012">
      <w:pPr>
        <w:ind w:left="708"/>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209F8E09" w14:textId="6F2A48AF" w:rsidR="003A1A4D" w:rsidRDefault="003A1A4D" w:rsidP="00031E80">
      <w:pPr>
        <w:pStyle w:val="Beschriftung"/>
        <w:framePr w:w="8437" w:h="290" w:hRule="exact" w:hSpace="141" w:wrap="around" w:vAnchor="text" w:hAnchor="page" w:x="2173" w:y="3852"/>
      </w:pPr>
      <w:bookmarkStart w:id="33" w:name="_Toc222767575"/>
      <w:r>
        <w:t xml:space="preserve">Tabelle </w:t>
      </w:r>
      <w:r>
        <w:fldChar w:fldCharType="begin"/>
      </w:r>
      <w:r>
        <w:instrText xml:space="preserve"> SEQ Tabelle \* ARABIC </w:instrText>
      </w:r>
      <w:r>
        <w:fldChar w:fldCharType="separate"/>
      </w:r>
      <w:r w:rsidR="00CA2418">
        <w:rPr>
          <w:noProof/>
        </w:rPr>
        <w:t>2</w:t>
      </w:r>
      <w:r>
        <w:fldChar w:fldCharType="end"/>
      </w:r>
      <w:r>
        <w:t xml:space="preserve">: </w:t>
      </w:r>
      <w:r w:rsidR="00315E99" w:rsidRPr="00315E99">
        <w:t>Gegenüberstellung von Insellösung, Hybridsystem und Netzeinspeisung</w:t>
      </w:r>
      <w:bookmarkEnd w:id="33"/>
    </w:p>
    <w:p w14:paraId="70B658B0" w14:textId="77777777" w:rsidR="00D11012" w:rsidRDefault="00D11012" w:rsidP="00D11012">
      <w:pPr>
        <w:spacing w:after="0"/>
        <w:ind w:left="708"/>
        <w:jc w:val="both"/>
        <w:rPr>
          <w:rFonts w:cs="Arial"/>
        </w:rPr>
      </w:pPr>
    </w:p>
    <w:p w14:paraId="48209807" w14:textId="6212ACA6" w:rsidR="00D11012" w:rsidRPr="00D11012" w:rsidRDefault="00D11012" w:rsidP="00D11012">
      <w:pPr>
        <w:ind w:left="708"/>
        <w:jc w:val="both"/>
        <w:rPr>
          <w:rFonts w:cs="Arial"/>
        </w:rPr>
      </w:pPr>
      <w:r w:rsidRPr="00D11012">
        <w:rPr>
          <w:rFonts w:cs="Arial"/>
        </w:rPr>
        <w:lastRenderedPageBreak/>
        <w:t xml:space="preserve">Die reine Insellösung bietet die höchste Unabhängigkeit vom Stromnetz und vermeidet Netzgebühren vollständig. Ihre Schwachstelle liegt im Winterbetrieb: Mit durchschnittlich nur 3,5 Sonnenstunden pro Tag im Dezember </w:t>
      </w:r>
      <w:r w:rsidR="003E5C32">
        <w:rPr>
          <w:rFonts w:cs="Arial"/>
        </w:rPr>
        <w:fldChar w:fldCharType="begin"/>
      </w:r>
      <w:r w:rsidR="003E5C32">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3E5C32">
        <w:rPr>
          <w:rFonts w:cs="Arial"/>
        </w:rPr>
        <w:fldChar w:fldCharType="separate"/>
      </w:r>
      <w:r w:rsidR="003E5C32" w:rsidRPr="003E5C32">
        <w:rPr>
          <w:rFonts w:ascii="Aptos" w:hAnsi="Aptos"/>
        </w:rPr>
        <w:t>[18]</w:t>
      </w:r>
      <w:r w:rsidR="003E5C32">
        <w:rPr>
          <w:rFonts w:cs="Arial"/>
        </w:rPr>
        <w:fldChar w:fldCharType="end"/>
      </w:r>
      <w:r w:rsidRPr="00D11012">
        <w:rPr>
          <w:rFonts w:cs="Arial"/>
        </w:rPr>
        <w:t xml:space="preserve"> und entsprechend geringer Energieerzeugung von ca. </w:t>
      </w:r>
      <w:r w:rsidR="003E5C32">
        <w:rPr>
          <w:rFonts w:cs="Arial"/>
        </w:rPr>
        <w:t>6</w:t>
      </w:r>
      <w:r w:rsidRPr="00D11012">
        <w:rPr>
          <w:rFonts w:cs="Arial"/>
        </w:rPr>
        <w:t>,0</w:t>
      </w:r>
      <w:r w:rsidR="003E5C32">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sidR="003E5C32">
        <w:rPr>
          <w:rFonts w:cs="Arial"/>
        </w:rPr>
        <w:t>t</w:t>
      </w:r>
      <w:r w:rsidRPr="00D11012">
        <w:rPr>
          <w:rFonts w:cs="Arial"/>
        </w:rPr>
        <w:t xml:space="preserve"> garantiert.</w:t>
      </w:r>
    </w:p>
    <w:p w14:paraId="25751E62" w14:textId="77777777" w:rsidR="00D11012" w:rsidRDefault="00D11012" w:rsidP="00D11012">
      <w:pPr>
        <w:ind w:left="708"/>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53E34424" w14:textId="78F56765" w:rsidR="00D644D2" w:rsidRPr="00D11012" w:rsidRDefault="00D644D2" w:rsidP="00D11012">
      <w:pPr>
        <w:ind w:left="708"/>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Euro/kWh – die Einspeisung von Überschussenergie ist dabei nicht eingerechnet und würde die tatsächliche Amortisationszeit gegenüber dem berechneten Wert von 4,6</w:t>
      </w:r>
      <w:r>
        <w:rPr>
          <w:rFonts w:cs="Arial"/>
        </w:rPr>
        <w:t> </w:t>
      </w:r>
      <w:r w:rsidRPr="00D644D2">
        <w:rPr>
          <w:rFonts w:cs="Arial"/>
        </w:rPr>
        <w:t>Jahren weiter verkürzen.</w:t>
      </w:r>
    </w:p>
    <w:p w14:paraId="191B6747" w14:textId="11C8FF3B" w:rsidR="00D11012" w:rsidRPr="00D11012" w:rsidRDefault="00D11012" w:rsidP="00D11012">
      <w:pPr>
        <w:ind w:left="708"/>
        <w:jc w:val="both"/>
        <w:rPr>
          <w:rFonts w:cs="Arial"/>
        </w:rPr>
      </w:pPr>
      <w:r w:rsidRPr="00D11012">
        <w:rPr>
          <w:rFonts w:cs="Arial"/>
        </w:rPr>
        <w:t>Die reine Netzanbindung mit Einspeisung ist wirtschaftlich am wenigsten attraktiv. Der ÖMAG-Einspeisetarif lag zuletzt bei rund 5,9</w:t>
      </w:r>
      <w:r w:rsidR="00D644D2">
        <w:rPr>
          <w:rFonts w:cs="Arial"/>
        </w:rPr>
        <w:t> </w:t>
      </w:r>
      <w:r w:rsidRPr="00D11012">
        <w:rPr>
          <w:rFonts w:cs="Arial"/>
        </w:rPr>
        <w:t>Cent/kWh, während private Anbieter zwischen 2,0 und 11,0</w:t>
      </w:r>
      <w:r w:rsidR="00D644D2">
        <w:rPr>
          <w:rFonts w:cs="Arial"/>
        </w:rPr>
        <w:t> </w:t>
      </w:r>
      <w:r w:rsidRPr="00D11012">
        <w:rPr>
          <w:rFonts w:cs="Arial"/>
        </w:rPr>
        <w:t>Cent/kWh vergüten – im Durchschnitt rund 6,05</w:t>
      </w:r>
      <w:r w:rsidR="00D644D2">
        <w:rPr>
          <w:rFonts w:cs="Arial"/>
        </w:rPr>
        <w:t> </w:t>
      </w:r>
      <w:r w:rsidRPr="00D11012">
        <w:rPr>
          <w:rFonts w:cs="Arial"/>
        </w:rPr>
        <w:t xml:space="preserve">Cent/kWh </w:t>
      </w:r>
      <w:r w:rsidR="00D644D2">
        <w:rPr>
          <w:rFonts w:cs="Arial"/>
        </w:rPr>
        <w:fldChar w:fldCharType="begin"/>
      </w:r>
      <w:r w:rsidR="00D644D2">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Das liegt deutlich unter dem Eigenverbrauchswert von 0,25</w:t>
      </w:r>
      <w:r w:rsidR="00D644D2">
        <w:rPr>
          <w:rFonts w:cs="Arial"/>
        </w:rPr>
        <w:t> </w:t>
      </w:r>
      <w:r w:rsidRPr="00D11012">
        <w:rPr>
          <w:rFonts w:cs="Arial"/>
        </w:rPr>
        <w:t xml:space="preserve">Euro/kWh </w:t>
      </w:r>
      <w:r w:rsidR="00D644D2">
        <w:rPr>
          <w:rFonts w:cs="Arial"/>
        </w:rPr>
        <w:fldChar w:fldCharType="begin"/>
      </w:r>
      <w:r w:rsidR="00D644D2">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Bei vollständiger Einspeisung würde die jährliche Vergütung lediglich </w:t>
      </w:r>
      <w:r w:rsidR="00D644D2">
        <w:rPr>
          <w:rFonts w:cs="Arial"/>
        </w:rPr>
        <w:t>80 € (</w:t>
      </w:r>
      <w:r w:rsidR="00D644D2" w:rsidRPr="00D11012">
        <w:rPr>
          <w:rFonts w:cs="Arial"/>
        </w:rPr>
        <w:t>4.132</w:t>
      </w:r>
      <w:r w:rsidR="00D644D2">
        <w:rPr>
          <w:rFonts w:cs="Arial"/>
        </w:rPr>
        <w:t> </w:t>
      </w:r>
      <w:r w:rsidR="00D644D2" w:rsidRPr="00D11012">
        <w:rPr>
          <w:rFonts w:cs="Arial"/>
        </w:rPr>
        <w:t>kWh × 0,0</w:t>
      </w:r>
      <w:r w:rsidR="00D644D2">
        <w:rPr>
          <w:rFonts w:cs="Arial"/>
        </w:rPr>
        <w:t>2 </w:t>
      </w:r>
      <w:r w:rsidR="00D644D2" w:rsidRPr="00D11012">
        <w:rPr>
          <w:rFonts w:cs="Arial"/>
        </w:rPr>
        <w:t>Euro/kWh</w:t>
      </w:r>
      <w:r w:rsidR="00D644D2">
        <w:rPr>
          <w:rFonts w:cs="Arial"/>
        </w:rPr>
        <w:t>)</w:t>
      </w:r>
      <w:r w:rsidRPr="00D11012">
        <w:rPr>
          <w:rFonts w:cs="Arial"/>
        </w:rPr>
        <w:t xml:space="preserve"> bis 455</w:t>
      </w:r>
      <w:r w:rsidR="00D644D2">
        <w:rPr>
          <w:rFonts w:cs="Arial"/>
        </w:rPr>
        <w:t> </w:t>
      </w:r>
      <w:r w:rsidRPr="00D11012">
        <w:rPr>
          <w:rFonts w:cs="Arial"/>
        </w:rPr>
        <w:t>Euro betragen (4.132</w:t>
      </w:r>
      <w:r w:rsidR="00D644D2">
        <w:rPr>
          <w:rFonts w:cs="Arial"/>
        </w:rPr>
        <w:t> </w:t>
      </w:r>
      <w:r w:rsidRPr="00D11012">
        <w:rPr>
          <w:rFonts w:cs="Arial"/>
        </w:rPr>
        <w:t>kWh ×</w:t>
      </w:r>
      <w:r w:rsidR="00D644D2">
        <w:rPr>
          <w:rFonts w:cs="Arial"/>
        </w:rPr>
        <w:t xml:space="preserve"> </w:t>
      </w:r>
      <w:r w:rsidRPr="00D11012">
        <w:rPr>
          <w:rFonts w:cs="Arial"/>
        </w:rPr>
        <w:t>0,11</w:t>
      </w:r>
      <w:r w:rsidR="00D644D2">
        <w:rPr>
          <w:rFonts w:cs="Arial"/>
        </w:rPr>
        <w:t> </w:t>
      </w:r>
      <w:r w:rsidRPr="00D11012">
        <w:rPr>
          <w:rFonts w:cs="Arial"/>
        </w:rPr>
        <w:t xml:space="preserve">Euro/kWh), was die Amortisationszeit auf 11 bis 19 Jahre verlängern würde. </w:t>
      </w:r>
      <w:r w:rsidR="00847F09"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7C50AC5A" w14:textId="5277164B" w:rsidR="00D11012" w:rsidRPr="009A557B" w:rsidRDefault="00D11012" w:rsidP="00D11012">
      <w:pPr>
        <w:ind w:left="708"/>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5DD2EE" w14:textId="3BE6EBEA" w:rsidR="009A557B" w:rsidRPr="009A557B" w:rsidRDefault="009A557B" w:rsidP="009A557B">
      <w:pPr>
        <w:pStyle w:val="berschrift2"/>
      </w:pPr>
      <w:bookmarkStart w:id="34" w:name="_Toc222767620"/>
      <w:r w:rsidRPr="009A557B">
        <w:t>4.7.3 Betriebskosten</w:t>
      </w:r>
      <w:r w:rsidR="00AB5BFB">
        <w:t xml:space="preserve"> und Wirtschaftlichkeitsbewertung</w:t>
      </w:r>
      <w:bookmarkEnd w:id="34"/>
    </w:p>
    <w:p w14:paraId="0BE43A41" w14:textId="61774616" w:rsidR="00AB5BFB" w:rsidRPr="00AB5BFB" w:rsidRDefault="00AB5BFB" w:rsidP="00AB5BFB">
      <w:pPr>
        <w:ind w:left="708"/>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sidR="00C073FE">
        <w:rPr>
          <w:rFonts w:cs="Arial"/>
        </w:rPr>
        <w:fldChar w:fldCharType="begin"/>
      </w:r>
      <w:r w:rsidR="00C073FE">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xml:space="preserve">, beschränken sich die jährlichen Betriebskosten auf gelegentliche Sichtprüfungen sowie </w:t>
      </w:r>
      <w:r w:rsidRPr="00AB5BFB">
        <w:rPr>
          <w:rFonts w:cs="Arial"/>
        </w:rPr>
        <w:lastRenderedPageBreak/>
        <w:t>das Monitoring des Batteriezustands. Die Lebensdauer der PV-Module beträgt mindestens 25 Jahre, wobei Qualitätsmodelle nach dieser Zeit noch mindestens 85</w:t>
      </w:r>
      <w:r w:rsidR="00C073FE">
        <w:rPr>
          <w:rFonts w:cs="Arial"/>
        </w:rPr>
        <w:t> </w:t>
      </w:r>
      <w:r w:rsidRPr="00AB5BFB">
        <w:rPr>
          <w:rFonts w:cs="Arial"/>
        </w:rPr>
        <w:t xml:space="preserve">% ihrer ursprünglichen Leistung erbringen </w:t>
      </w:r>
      <w:r w:rsidR="00C073FE">
        <w:rPr>
          <w:rFonts w:cs="Arial"/>
        </w:rPr>
        <w:fldChar w:fldCharType="begin"/>
      </w:r>
      <w:r w:rsidR="00C073FE">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Der Wechselrichter hat eine kürzere Lebensdauer von rund 10 bis 15</w:t>
      </w:r>
      <w:r w:rsidR="00C073FE">
        <w:rPr>
          <w:rFonts w:cs="Arial"/>
        </w:rPr>
        <w:t> </w:t>
      </w:r>
      <w:r w:rsidRPr="00AB5BFB">
        <w:rPr>
          <w:rFonts w:cs="Arial"/>
        </w:rPr>
        <w:t>Jahren, weshalb ein einmaliger Austausch über die Systemlaufzeit einzuplanen ist.</w:t>
      </w:r>
    </w:p>
    <w:p w14:paraId="4D9B7F91" w14:textId="2DEA12B6" w:rsidR="00AB5BFB" w:rsidRPr="00AB5BFB" w:rsidRDefault="00AB5BFB" w:rsidP="00AB5BFB">
      <w:pPr>
        <w:ind w:left="708"/>
        <w:jc w:val="both"/>
        <w:rPr>
          <w:rFonts w:cs="Arial"/>
        </w:rPr>
      </w:pPr>
      <w:r w:rsidRPr="00AB5BFB">
        <w:rPr>
          <w:rFonts w:cs="Arial"/>
        </w:rPr>
        <w:t>Die Stromerzeugungskosten (</w:t>
      </w:r>
      <w:proofErr w:type="spellStart"/>
      <w:r w:rsidRPr="00AB5BFB">
        <w:rPr>
          <w:rFonts w:cs="Arial"/>
        </w:rPr>
        <w:t>Levelized</w:t>
      </w:r>
      <w:proofErr w:type="spellEnd"/>
      <w:r w:rsidRPr="00AB5BFB">
        <w:rPr>
          <w:rFonts w:cs="Arial"/>
        </w:rPr>
        <w:t xml:space="preserve"> </w:t>
      </w:r>
      <w:proofErr w:type="spellStart"/>
      <w:r w:rsidRPr="00AB5BFB">
        <w:rPr>
          <w:rFonts w:cs="Arial"/>
        </w:rPr>
        <w:t>Cost</w:t>
      </w:r>
      <w:proofErr w:type="spellEnd"/>
      <w:r w:rsidRPr="00AB5BFB">
        <w:rPr>
          <w:rFonts w:cs="Arial"/>
        </w:rPr>
        <w:t xml:space="preserve"> </w:t>
      </w:r>
      <w:proofErr w:type="spellStart"/>
      <w:r w:rsidRPr="00AB5BFB">
        <w:rPr>
          <w:rFonts w:cs="Arial"/>
        </w:rPr>
        <w:t>of</w:t>
      </w:r>
      <w:proofErr w:type="spellEnd"/>
      <w:r w:rsidRPr="00AB5BFB">
        <w:rPr>
          <w:rFonts w:cs="Arial"/>
        </w:rPr>
        <w:t xml:space="preserve"> </w:t>
      </w:r>
      <w:proofErr w:type="spellStart"/>
      <w:r w:rsidRPr="00AB5BFB">
        <w:rPr>
          <w:rFonts w:cs="Arial"/>
        </w:rPr>
        <w:t>Electricity</w:t>
      </w:r>
      <w:proofErr w:type="spellEnd"/>
      <w:r w:rsidRPr="00AB5BFB">
        <w:rPr>
          <w:rFonts w:cs="Arial"/>
        </w:rPr>
        <w:t>, LCOE) liegen auf Basis der Investitionskosten von 4.800</w:t>
      </w:r>
      <w:r w:rsidR="004A1ADC">
        <w:rPr>
          <w:rFonts w:cs="Arial"/>
        </w:rPr>
        <w:t> </w:t>
      </w:r>
      <w:r w:rsidRPr="00AB5BFB">
        <w:rPr>
          <w:rFonts w:cs="Arial"/>
        </w:rPr>
        <w:t>Euro, einer angenommenen Systemlebensdauer von 10 bis 15</w:t>
      </w:r>
      <w:r w:rsidR="004A1ADC">
        <w:rPr>
          <w:rFonts w:cs="Arial"/>
        </w:rPr>
        <w:t> </w:t>
      </w:r>
      <w:r w:rsidRPr="00AB5BFB">
        <w:rPr>
          <w:rFonts w:cs="Arial"/>
        </w:rPr>
        <w:t>Jahren und einer jährlichen Energieerzeugung von 4.132</w:t>
      </w:r>
      <w:r w:rsidR="004A1ADC">
        <w:rPr>
          <w:rFonts w:cs="Arial"/>
        </w:rPr>
        <w:t> </w:t>
      </w:r>
      <w:r w:rsidRPr="00AB5BFB">
        <w:rPr>
          <w:rFonts w:cs="Arial"/>
        </w:rPr>
        <w:t>kWh bei rund 0,08 bis 0,12</w:t>
      </w:r>
      <w:r w:rsidR="00C073FE">
        <w:rPr>
          <w:rFonts w:cs="Arial"/>
        </w:rPr>
        <w:t> </w:t>
      </w:r>
      <w:r w:rsidRPr="00AB5BFB">
        <w:rPr>
          <w:rFonts w:cs="Arial"/>
        </w:rPr>
        <w:t xml:space="preserve">Euro/kWh – deutlich unter dem aktuellen Endkundenpreis von 0,25 Euro/kWh </w:t>
      </w:r>
      <w:r w:rsidR="00C073FE">
        <w:rPr>
          <w:rFonts w:cs="Arial"/>
        </w:rPr>
        <w:fldChar w:fldCharType="begin"/>
      </w:r>
      <w:r w:rsidR="00C073FE">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C073FE">
        <w:rPr>
          <w:rFonts w:cs="Arial"/>
        </w:rPr>
        <w:fldChar w:fldCharType="separate"/>
      </w:r>
      <w:r w:rsidR="00C073FE" w:rsidRPr="00C073FE">
        <w:rPr>
          <w:rFonts w:ascii="Aptos" w:hAnsi="Aptos"/>
        </w:rPr>
        <w:t>[20]</w:t>
      </w:r>
      <w:r w:rsidR="00C073FE">
        <w:rPr>
          <w:rFonts w:cs="Arial"/>
        </w:rPr>
        <w:fldChar w:fldCharType="end"/>
      </w:r>
      <w:r w:rsidRPr="00AB5BFB">
        <w:rPr>
          <w:rFonts w:cs="Arial"/>
        </w:rPr>
        <w:t>. Selbst unter Berücksichtigung eines Wechselrichtertauschs nach etwa 12</w:t>
      </w:r>
      <w:r w:rsidR="004A1ADC">
        <w:rPr>
          <w:rFonts w:cs="Arial"/>
        </w:rPr>
        <w:t> </w:t>
      </w:r>
      <w:r w:rsidRPr="00AB5BFB">
        <w:rPr>
          <w:rFonts w:cs="Arial"/>
        </w:rPr>
        <w:t>Jahren bleiben die LCOE weit unter dem Netzbezugspreis.</w:t>
      </w:r>
    </w:p>
    <w:p w14:paraId="6179C11B" w14:textId="0AAAA9D9" w:rsidR="00AB5BFB" w:rsidRPr="00AB5BFB" w:rsidRDefault="00AB5BFB" w:rsidP="00AB5BFB">
      <w:pPr>
        <w:ind w:left="708"/>
        <w:jc w:val="both"/>
        <w:rPr>
          <w:rFonts w:cs="Arial"/>
        </w:rPr>
      </w:pPr>
      <w:r w:rsidRPr="00AB5BFB">
        <w:rPr>
          <w:rFonts w:cs="Arial"/>
        </w:rPr>
        <w:t>Zusammenfassend zeigt die Analyse, dass das Energie-Management-Modul für ein</w:t>
      </w:r>
      <w:r w:rsidR="004A1ADC">
        <w:rPr>
          <w:rFonts w:cs="Arial"/>
        </w:rPr>
        <w:t xml:space="preserve"> </w:t>
      </w:r>
      <w:r w:rsidR="004A1ADC" w:rsidRPr="00AB5BFB">
        <w:rPr>
          <w:rFonts w:cs="Arial"/>
        </w:rPr>
        <w:t>Gewächshaus</w:t>
      </w:r>
      <w:r w:rsidR="004A1ADC">
        <w:rPr>
          <w:rFonts w:cs="Arial"/>
        </w:rPr>
        <w:t xml:space="preserve"> mit</w:t>
      </w:r>
      <w:r w:rsidRPr="00AB5BFB">
        <w:rPr>
          <w:rFonts w:cs="Arial"/>
        </w:rPr>
        <w:t xml:space="preserve"> 10</w:t>
      </w:r>
      <w:r w:rsidR="004A1ADC">
        <w:rPr>
          <w:rFonts w:cs="Arial"/>
        </w:rPr>
        <w:t> </w:t>
      </w:r>
      <w:r w:rsidRPr="00AB5BFB">
        <w:rPr>
          <w:rFonts w:cs="Arial"/>
        </w:rPr>
        <w:t xml:space="preserve">m² </w:t>
      </w:r>
      <w:r w:rsidR="004A1ADC">
        <w:rPr>
          <w:rFonts w:cs="Arial"/>
        </w:rPr>
        <w:t xml:space="preserve">Dachfläche </w:t>
      </w:r>
      <w:r w:rsidRPr="00AB5BFB">
        <w:rPr>
          <w:rFonts w:cs="Arial"/>
        </w:rPr>
        <w:t>mit einer Investition von rund 4.800</w:t>
      </w:r>
      <w:r w:rsidR="004A1ADC">
        <w:rPr>
          <w:rFonts w:cs="Arial"/>
        </w:rPr>
        <w:t> </w:t>
      </w:r>
      <w:r w:rsidRPr="00AB5BFB">
        <w:rPr>
          <w:rFonts w:cs="Arial"/>
        </w:rPr>
        <w:t xml:space="preserve">Euro </w:t>
      </w:r>
      <w:r w:rsidR="004A1ADC">
        <w:rPr>
          <w:rFonts w:cs="Arial"/>
        </w:rPr>
        <w:fldChar w:fldCharType="begin"/>
      </w:r>
      <w:r w:rsidR="004A1ADC">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4A1ADC">
        <w:rPr>
          <w:rFonts w:ascii="Segoe UI Symbol" w:hAnsi="Segoe UI Symbol" w:cs="Segoe UI Symbol"/>
        </w:rPr>
        <w:instrText>➤</w:instrText>
      </w:r>
      <w:r w:rsidR="004A1ADC">
        <w:rPr>
          <w:rFonts w:cs="Arial"/>
        </w:rPr>
        <w:instrText xml:space="preserve"> Mit dem interaktiven Photovoltaik Rechner zur optimalen Gr</w:instrText>
      </w:r>
      <w:r w:rsidR="004A1ADC">
        <w:rPr>
          <w:rFonts w:ascii="Aptos" w:hAnsi="Aptos" w:cs="Aptos"/>
        </w:rPr>
        <w:instrText>öß</w:instrText>
      </w:r>
      <w:r w:rsidR="004A1ADC">
        <w:rPr>
          <w:rFonts w:cs="Arial"/>
        </w:rPr>
        <w:instrText>e, Ausrichtung und Wirtschaftlichkeit.","language":"de","title":"Photovoltaik Kosten &amp; Ertrag inkl. PV Rechner - Salzburg AG f</w:instrText>
      </w:r>
      <w:r w:rsidR="004A1ADC">
        <w:rPr>
          <w:rFonts w:ascii="Aptos" w:hAnsi="Aptos" w:cs="Aptos"/>
        </w:rPr>
        <w:instrText>ü</w:instrText>
      </w:r>
      <w:r w:rsidR="004A1ADC">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4A1ADC">
        <w:rPr>
          <w:rFonts w:cs="Arial"/>
        </w:rPr>
        <w:fldChar w:fldCharType="separate"/>
      </w:r>
      <w:r w:rsidR="004A1ADC" w:rsidRPr="004A1ADC">
        <w:rPr>
          <w:rFonts w:ascii="Aptos" w:hAnsi="Aptos"/>
        </w:rPr>
        <w:t>[17]</w:t>
      </w:r>
      <w:r w:rsidR="004A1ADC">
        <w:rPr>
          <w:rFonts w:cs="Arial"/>
        </w:rPr>
        <w:fldChar w:fldCharType="end"/>
      </w:r>
      <w:r w:rsidRPr="00AB5BFB">
        <w:rPr>
          <w:rFonts w:cs="Arial"/>
        </w:rPr>
        <w:t>, einer jährlichen Einsparung von ca. 1.033</w:t>
      </w:r>
      <w:r w:rsidR="004A1ADC">
        <w:rPr>
          <w:rFonts w:cs="Arial"/>
        </w:rPr>
        <w:t> </w:t>
      </w:r>
      <w:r w:rsidRPr="00AB5BFB">
        <w:rPr>
          <w:rFonts w:cs="Arial"/>
        </w:rPr>
        <w:t>Euro und einer Amortisationszeit von etwa 4,6</w:t>
      </w:r>
      <w:r w:rsidR="004A1ADC">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sidR="004A1ADC">
        <w:rPr>
          <w:rFonts w:cs="Arial"/>
        </w:rPr>
        <w:t>er</w:t>
      </w:r>
      <w:r w:rsidRPr="00AB5BFB">
        <w:rPr>
          <w:rFonts w:cs="Arial"/>
        </w:rPr>
        <w:t xml:space="preserve"> niedrige LCOE von 0,08 bis 0,1</w:t>
      </w:r>
      <w:r w:rsidR="004A1ADC">
        <w:rPr>
          <w:rFonts w:cs="Arial"/>
        </w:rPr>
        <w:t>2 </w:t>
      </w:r>
      <w:r w:rsidRPr="00AB5BFB">
        <w:rPr>
          <w:rFonts w:cs="Arial"/>
        </w:rPr>
        <w:t xml:space="preserve">Euro/kWh sowie die Unabhängigkeit von schwankenden Netzstrompreisen </w:t>
      </w:r>
      <w:r w:rsidR="004A1ADC">
        <w:rPr>
          <w:rFonts w:cs="Arial"/>
        </w:rPr>
        <w:fldChar w:fldCharType="begin"/>
      </w:r>
      <w:r w:rsidR="004A1ADC">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4A1ADC">
        <w:rPr>
          <w:rFonts w:cs="Arial"/>
        </w:rPr>
        <w:fldChar w:fldCharType="separate"/>
      </w:r>
      <w:r w:rsidR="004A1ADC" w:rsidRPr="004A1ADC">
        <w:rPr>
          <w:rFonts w:ascii="Aptos" w:hAnsi="Aptos"/>
        </w:rPr>
        <w:t>[19]</w:t>
      </w:r>
      <w:r w:rsidR="004A1ADC">
        <w:rPr>
          <w:rFonts w:cs="Arial"/>
        </w:rPr>
        <w:fldChar w:fldCharType="end"/>
      </w:r>
      <w:r w:rsidRPr="00AB5BFB">
        <w:rPr>
          <w:rFonts w:cs="Arial"/>
        </w:rPr>
        <w:t xml:space="preserve"> sprechen langfristig klar für die gewählte Lösung.</w:t>
      </w:r>
    </w:p>
    <w:p w14:paraId="2A390EA7" w14:textId="77777777" w:rsidR="009812EA" w:rsidRDefault="009812EA" w:rsidP="00AB5BFB">
      <w:pPr>
        <w:ind w:left="708"/>
        <w:jc w:val="both"/>
        <w:rPr>
          <w:rFonts w:cs="Arial"/>
        </w:rPr>
      </w:pPr>
    </w:p>
    <w:p w14:paraId="0F12DDE8" w14:textId="77777777" w:rsidR="00FF4DC9" w:rsidRPr="007801B0" w:rsidRDefault="00FF4DC9" w:rsidP="00AB5BFB">
      <w:pPr>
        <w:ind w:left="708"/>
        <w:jc w:val="both"/>
        <w:rPr>
          <w:rFonts w:cs="Arial"/>
        </w:rPr>
      </w:pPr>
    </w:p>
    <w:p w14:paraId="5F97695B" w14:textId="1410DFB4" w:rsidR="00222C03" w:rsidRDefault="0052036E" w:rsidP="00B9440E">
      <w:pPr>
        <w:pStyle w:val="berschrift1"/>
        <w:spacing w:before="0"/>
      </w:pPr>
      <w:bookmarkStart w:id="35" w:name="_Toc222767621"/>
      <w:r>
        <w:t>4.8 Elektrische Planung</w:t>
      </w:r>
      <w:bookmarkEnd w:id="35"/>
    </w:p>
    <w:p w14:paraId="7801BBAE" w14:textId="2AC881B4" w:rsidR="009812EA" w:rsidRDefault="00B40562" w:rsidP="009812EA">
      <w:pPr>
        <w:ind w:left="708"/>
        <w:jc w:val="both"/>
        <w:rPr>
          <w:rFonts w:cs="Arial"/>
        </w:rPr>
      </w:pPr>
      <w:r w:rsidRPr="00B40562">
        <w:rPr>
          <w:rFonts w:cs="Arial"/>
        </w:rPr>
        <w:t xml:space="preserve">Zur elektrischen Planung wurden ein Systemschema (Abbildung </w:t>
      </w:r>
      <w:r>
        <w:rPr>
          <w:rFonts w:cs="Arial"/>
        </w:rPr>
        <w:t>3</w:t>
      </w:r>
      <w:r w:rsidRPr="00B40562">
        <w:rPr>
          <w:rFonts w:cs="Arial"/>
        </w:rPr>
        <w:t xml:space="preserve">) sowie ein Schaltplan (Abbildung </w:t>
      </w:r>
      <w:r>
        <w:rPr>
          <w:rFonts w:cs="Arial"/>
        </w:rPr>
        <w:t>2</w:t>
      </w:r>
      <w:r w:rsidRPr="00B40562">
        <w:rPr>
          <w:rFonts w:cs="Arial"/>
        </w:rPr>
        <w:t xml:space="preserve">) erstellt. Das Systemschema stellt den übergeordneten Energiefluss und die logische Systemstruktur dar, während der mit </w:t>
      </w:r>
      <w:proofErr w:type="spellStart"/>
      <w:r w:rsidRPr="00B40562">
        <w:rPr>
          <w:rFonts w:cs="Arial"/>
        </w:rPr>
        <w:t>KiCad</w:t>
      </w:r>
      <w:proofErr w:type="spellEnd"/>
      <w:r w:rsidRPr="00B40562">
        <w:rPr>
          <w:rFonts w:cs="Arial"/>
        </w:rPr>
        <w:t xml:space="preserve"> (Version 9.0) erstellte Schaltplan die</w:t>
      </w:r>
      <w:r>
        <w:rPr>
          <w:rFonts w:cs="Arial"/>
        </w:rPr>
        <w:t xml:space="preserve"> elektrischen Verbindungen aller Komponenten dokumentiert</w:t>
      </w:r>
      <w:r w:rsidRPr="00B40562">
        <w:rPr>
          <w:rFonts w:cs="Arial"/>
        </w:rPr>
        <w:t>.</w:t>
      </w:r>
    </w:p>
    <w:p w14:paraId="7F0B9676" w14:textId="77777777" w:rsidR="009812EA" w:rsidRPr="009812EA" w:rsidRDefault="009812EA" w:rsidP="009812EA">
      <w:pPr>
        <w:pStyle w:val="berschrift2"/>
        <w:rPr>
          <w:rFonts w:asciiTheme="minorHAnsi" w:hAnsiTheme="minorHAnsi"/>
        </w:rPr>
      </w:pPr>
      <w:bookmarkStart w:id="36" w:name="_Toc222767622"/>
      <w:r w:rsidRPr="009812EA">
        <w:rPr>
          <w:rFonts w:asciiTheme="minorHAnsi" w:hAnsiTheme="minorHAnsi"/>
        </w:rPr>
        <w:t>4.8.1 Systemaufbau und Energiepfad</w:t>
      </w:r>
      <w:bookmarkEnd w:id="36"/>
    </w:p>
    <w:p w14:paraId="7A981B4F" w14:textId="7CBCB34B" w:rsidR="009812EA" w:rsidRPr="009B125F" w:rsidRDefault="009812EA" w:rsidP="009812EA">
      <w:pPr>
        <w:spacing w:after="200"/>
        <w:ind w:left="708"/>
        <w:jc w:val="both"/>
        <w:rPr>
          <w:sz w:val="20"/>
          <w:szCs w:val="20"/>
        </w:rPr>
      </w:pPr>
      <w:r w:rsidRPr="009B125F">
        <w:rPr>
          <w:rFonts w:eastAsia="Arial" w:cs="Arial"/>
        </w:rPr>
        <w:t>Abbildung 3 zeigt den Systemaufbau und die logische Struktur des Gesamtsystems. Das PV-Panel (</w:t>
      </w:r>
      <w:proofErr w:type="spellStart"/>
      <w:r w:rsidRPr="009B125F">
        <w:rPr>
          <w:rFonts w:eastAsia="Arial" w:cs="Arial"/>
        </w:rPr>
        <w:t>enjoysolar</w:t>
      </w:r>
      <w:proofErr w:type="spellEnd"/>
      <w:r w:rsidRPr="009B125F">
        <w:rPr>
          <w:rFonts w:eastAsia="Arial" w:cs="Arial"/>
        </w:rPr>
        <w:t xml:space="preserve"> 180</w:t>
      </w:r>
      <w:r w:rsidRPr="009B125F">
        <w:rPr>
          <w:rFonts w:ascii="Arial" w:eastAsia="Arial" w:hAnsi="Arial" w:cs="Arial"/>
        </w:rPr>
        <w:t> </w:t>
      </w:r>
      <w:r w:rsidRPr="009B125F">
        <w:rPr>
          <w:rFonts w:eastAsia="Arial" w:cs="Arial"/>
        </w:rPr>
        <w:t>W, 12</w:t>
      </w:r>
      <w:r w:rsidRPr="009B125F">
        <w:rPr>
          <w:rFonts w:ascii="Arial" w:eastAsia="Arial" w:hAnsi="Arial" w:cs="Arial"/>
        </w:rPr>
        <w:t> </w:t>
      </w:r>
      <w:r w:rsidRPr="009B125F">
        <w:rPr>
          <w:rFonts w:eastAsia="Arial" w:cs="Arial"/>
        </w:rPr>
        <w:t xml:space="preserve">V) speist </w:t>
      </w:r>
      <w:r w:rsidRPr="009B125F">
        <w:rPr>
          <w:rFonts w:ascii="Aptos" w:eastAsia="Arial" w:hAnsi="Aptos" w:cs="Aptos"/>
        </w:rPr>
        <w:t>ü</w:t>
      </w:r>
      <w:r w:rsidRPr="009B125F">
        <w:rPr>
          <w:rFonts w:eastAsia="Arial" w:cs="Arial"/>
        </w:rPr>
        <w:t>ber ein MC4-Kabel mit 9,43 A in den Verteilerschrank ein. Dieser bildet das Zentrum der Energieversorgung und enth</w:t>
      </w:r>
      <w:r w:rsidRPr="009B125F">
        <w:rPr>
          <w:rFonts w:ascii="Aptos" w:eastAsia="Arial" w:hAnsi="Aptos" w:cs="Aptos"/>
        </w:rPr>
        <w:t>ä</w:t>
      </w:r>
      <w:r w:rsidRPr="009B125F">
        <w:rPr>
          <w:rFonts w:eastAsia="Arial" w:cs="Arial"/>
        </w:rPr>
        <w:t>lt den Victron MultiPlus 12/800 als kombinierten Laderegler und Wechselrichter, die AGM-Batterie mit 100</w:t>
      </w:r>
      <w:r w:rsidRPr="009B125F">
        <w:rPr>
          <w:rFonts w:ascii="Arial" w:eastAsia="Arial" w:hAnsi="Arial" w:cs="Arial"/>
        </w:rPr>
        <w:t> </w:t>
      </w:r>
      <w:r w:rsidRPr="009B125F">
        <w:rPr>
          <w:rFonts w:eastAsia="Arial" w:cs="Arial"/>
        </w:rPr>
        <w:t>Ah (600</w:t>
      </w:r>
      <w:r w:rsidRPr="009B125F">
        <w:rPr>
          <w:rFonts w:ascii="Arial" w:eastAsia="Arial" w:hAnsi="Arial" w:cs="Arial"/>
        </w:rPr>
        <w:t> </w:t>
      </w:r>
      <w:r w:rsidRPr="009B125F">
        <w:rPr>
          <w:rFonts w:eastAsia="Arial" w:cs="Arial"/>
        </w:rPr>
        <w:t>Wh nutzbar), den SmartShunt 500</w:t>
      </w:r>
      <w:r w:rsidRPr="009B125F">
        <w:rPr>
          <w:rFonts w:ascii="Arial" w:eastAsia="Arial" w:hAnsi="Arial" w:cs="Arial"/>
        </w:rPr>
        <w:t> </w:t>
      </w:r>
      <w:r w:rsidRPr="009B125F">
        <w:rPr>
          <w:rFonts w:eastAsia="Arial" w:cs="Arial"/>
        </w:rPr>
        <w:t>A zur Strommessung und SoC-Berechnung, den Victron Cerbo GX f</w:t>
      </w:r>
      <w:r w:rsidRPr="009B125F">
        <w:rPr>
          <w:rFonts w:ascii="Aptos" w:eastAsia="Arial" w:hAnsi="Aptos" w:cs="Aptos"/>
        </w:rPr>
        <w:t>ü</w:t>
      </w:r>
      <w:r w:rsidRPr="009B125F">
        <w:rPr>
          <w:rFonts w:eastAsia="Arial" w:cs="Arial"/>
        </w:rPr>
        <w:t xml:space="preserve">r Monitoring und Datenkommunikation, den Orion 12/12-18 DC/DC-Wandler mit galvanischer Trennung für die </w:t>
      </w:r>
      <w:proofErr w:type="spellStart"/>
      <w:r w:rsidRPr="009B125F">
        <w:rPr>
          <w:rFonts w:eastAsia="Arial" w:cs="Arial"/>
        </w:rPr>
        <w:t>Sensorikversorgung</w:t>
      </w:r>
      <w:proofErr w:type="spellEnd"/>
      <w:r w:rsidRPr="009B125F">
        <w:rPr>
          <w:rFonts w:eastAsia="Arial" w:cs="Arial"/>
        </w:rPr>
        <w:t xml:space="preserve"> sowie eine 30</w:t>
      </w:r>
      <w:r w:rsidRPr="009B125F">
        <w:rPr>
          <w:rFonts w:ascii="Arial" w:eastAsia="Arial" w:hAnsi="Arial" w:cs="Arial"/>
        </w:rPr>
        <w:t> </w:t>
      </w:r>
      <w:r w:rsidRPr="009B125F">
        <w:rPr>
          <w:rFonts w:eastAsia="Arial" w:cs="Arial"/>
        </w:rPr>
        <w:t>A-Sicherung zum Schutz des Systems. Als Backup Energiequelle ist ein Netzanschluss (230</w:t>
      </w:r>
      <w:r w:rsidRPr="009B125F">
        <w:rPr>
          <w:rFonts w:ascii="Arial" w:eastAsia="Arial" w:hAnsi="Arial" w:cs="Arial"/>
        </w:rPr>
        <w:t> </w:t>
      </w:r>
      <w:r w:rsidRPr="009B125F">
        <w:rPr>
          <w:rFonts w:eastAsia="Arial" w:cs="Arial"/>
        </w:rPr>
        <w:t>V AC) integriert. Vom Verteilerschrank f</w:t>
      </w:r>
      <w:r w:rsidRPr="009B125F">
        <w:rPr>
          <w:rFonts w:ascii="Aptos" w:eastAsia="Arial" w:hAnsi="Aptos" w:cs="Aptos"/>
        </w:rPr>
        <w:t>ü</w:t>
      </w:r>
      <w:r w:rsidRPr="009B125F">
        <w:rPr>
          <w:rFonts w:eastAsia="Arial" w:cs="Arial"/>
        </w:rPr>
        <w:t>hrt eine 12</w:t>
      </w:r>
      <w:r w:rsidRPr="009B125F">
        <w:rPr>
          <w:rFonts w:ascii="Arial" w:eastAsia="Arial" w:hAnsi="Arial" w:cs="Arial"/>
        </w:rPr>
        <w:t> </w:t>
      </w:r>
      <w:r w:rsidRPr="009B125F">
        <w:rPr>
          <w:rFonts w:eastAsia="Arial" w:cs="Arial"/>
        </w:rPr>
        <w:t>V-Leitung mit 18</w:t>
      </w:r>
      <w:r w:rsidRPr="009B125F">
        <w:rPr>
          <w:rFonts w:ascii="Arial" w:eastAsia="Arial" w:hAnsi="Arial" w:cs="Arial"/>
        </w:rPr>
        <w:t> </w:t>
      </w:r>
      <w:r w:rsidRPr="009B125F">
        <w:rPr>
          <w:rFonts w:eastAsia="Arial" w:cs="Arial"/>
        </w:rPr>
        <w:t>A zum Gew</w:t>
      </w:r>
      <w:r w:rsidRPr="009B125F">
        <w:rPr>
          <w:rFonts w:ascii="Aptos" w:eastAsia="Arial" w:hAnsi="Aptos" w:cs="Aptos"/>
        </w:rPr>
        <w:t>ä</w:t>
      </w:r>
      <w:r w:rsidRPr="009B125F">
        <w:rPr>
          <w:rFonts w:eastAsia="Arial" w:cs="Arial"/>
        </w:rPr>
        <w:t xml:space="preserve">chshaus. Der Cerbo GX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Energiedaten </w:t>
      </w:r>
      <w:r w:rsidRPr="009B125F">
        <w:rPr>
          <w:rFonts w:ascii="Aptos" w:eastAsia="Arial" w:hAnsi="Aptos" w:cs="Aptos"/>
        </w:rPr>
        <w:t>ü</w:t>
      </w:r>
      <w:r w:rsidRPr="009B125F">
        <w:rPr>
          <w:rFonts w:eastAsia="Arial" w:cs="Arial"/>
        </w:rPr>
        <w:t>ber MQTT an das Victron VRM-Portal (Internet).</w:t>
      </w:r>
    </w:p>
    <w:p w14:paraId="385C9C03" w14:textId="77777777" w:rsidR="009812EA" w:rsidRPr="009812EA" w:rsidRDefault="009812EA" w:rsidP="009812EA">
      <w:pPr>
        <w:pStyle w:val="berschrift2"/>
        <w:rPr>
          <w:rFonts w:asciiTheme="minorHAnsi" w:hAnsiTheme="minorHAnsi"/>
        </w:rPr>
      </w:pPr>
      <w:bookmarkStart w:id="37" w:name="_Toc222767623"/>
      <w:r w:rsidRPr="009812EA">
        <w:rPr>
          <w:rFonts w:asciiTheme="minorHAnsi" w:hAnsiTheme="minorHAnsi"/>
        </w:rPr>
        <w:t>4.8.2 Schaltplan</w:t>
      </w:r>
      <w:bookmarkEnd w:id="37"/>
    </w:p>
    <w:p w14:paraId="4BA52195" w14:textId="5F3C2399" w:rsidR="009812EA" w:rsidRPr="009B125F" w:rsidRDefault="009812EA" w:rsidP="009812EA">
      <w:pPr>
        <w:ind w:left="708"/>
        <w:jc w:val="both"/>
        <w:rPr>
          <w:rFonts w:cs="Arial"/>
          <w:sz w:val="20"/>
          <w:szCs w:val="20"/>
        </w:rPr>
      </w:pPr>
      <w:r w:rsidRPr="009B125F">
        <w:rPr>
          <w:rFonts w:eastAsia="Arial" w:cs="Arial"/>
        </w:rPr>
        <w:t xml:space="preserve">Abbildung 2 zeigt die elektrischen Verbindungen aller Komponenten. Die AGM-Batterie (BAT1) ist über eine 30 A-Sicherung (F2) mit dem MultiPlus 12/800 (U2) verbunden, der gleichzeitig das PV-Panel (PANEL1) und den Netzanschluss verarbeitet. Der SmartShunt </w:t>
      </w:r>
      <w:r w:rsidRPr="009B125F">
        <w:rPr>
          <w:rFonts w:eastAsia="Arial" w:cs="Arial"/>
        </w:rPr>
        <w:lastRenderedPageBreak/>
        <w:t>500</w:t>
      </w:r>
      <w:r w:rsidR="00011E5A" w:rsidRPr="009B125F">
        <w:rPr>
          <w:rFonts w:ascii="Arial" w:eastAsia="Arial" w:hAnsi="Arial" w:cs="Arial"/>
        </w:rPr>
        <w:t> </w:t>
      </w:r>
      <w:r w:rsidRPr="009B125F">
        <w:rPr>
          <w:rFonts w:eastAsia="Arial" w:cs="Arial"/>
        </w:rPr>
        <w:t>A (U4) ist i</w:t>
      </w:r>
      <w:r w:rsidR="00011E5A" w:rsidRPr="009B125F">
        <w:rPr>
          <w:rFonts w:eastAsia="Arial" w:cs="Arial"/>
        </w:rPr>
        <w:t xml:space="preserve">m </w:t>
      </w:r>
      <w:r w:rsidRPr="009B125F">
        <w:rPr>
          <w:rFonts w:eastAsia="Arial" w:cs="Arial"/>
        </w:rPr>
        <w:t xml:space="preserve">Batteriepfad </w:t>
      </w:r>
      <w:r w:rsidR="00011E5A" w:rsidRPr="009B125F">
        <w:rPr>
          <w:rFonts w:eastAsia="Arial" w:cs="Arial"/>
        </w:rPr>
        <w:t>angeordnet</w:t>
      </w:r>
      <w:r w:rsidRPr="009B125F">
        <w:rPr>
          <w:rFonts w:eastAsia="Arial" w:cs="Arial"/>
        </w:rPr>
        <w:t xml:space="preserve"> und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Messdaten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VE.Direct</w:t>
      </w:r>
      <w:proofErr w:type="spellEnd"/>
      <w:r w:rsidRPr="009B125F">
        <w:rPr>
          <w:rFonts w:eastAsia="Arial" w:cs="Arial"/>
        </w:rPr>
        <w:t xml:space="preserve"> an den Cerbo GX. Der MultiPlus kommuniziert mit dem Cerbo GX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VE.Bus</w:t>
      </w:r>
      <w:proofErr w:type="spellEnd"/>
      <w:r w:rsidRPr="009B125F">
        <w:rPr>
          <w:rFonts w:eastAsia="Arial" w:cs="Arial"/>
        </w:rPr>
        <w:t xml:space="preserve">. </w:t>
      </w:r>
      <w:r w:rsidR="00011E5A" w:rsidRPr="009B125F">
        <w:rPr>
          <w:rFonts w:eastAsia="Arial" w:cs="Arial"/>
        </w:rPr>
        <w:t>Der Orion DC/DC-Wandler (U6) versorgt die angeschlossenen Verbraucher mit einer galvanisch getrennten 12-V-Spannung.</w:t>
      </w:r>
      <w:r w:rsidRPr="009B125F">
        <w:rPr>
          <w:rFonts w:eastAsia="Arial" w:cs="Arial"/>
        </w:rPr>
        <w:t xml:space="preserve"> Das </w:t>
      </w:r>
      <w:proofErr w:type="gramStart"/>
      <w:r w:rsidRPr="009B125F">
        <w:rPr>
          <w:rFonts w:eastAsia="Arial" w:cs="Arial"/>
        </w:rPr>
        <w:t>GX Touch</w:t>
      </w:r>
      <w:proofErr w:type="gramEnd"/>
      <w:r w:rsidRPr="009B125F">
        <w:rPr>
          <w:rFonts w:eastAsia="Arial" w:cs="Arial"/>
        </w:rPr>
        <w:t xml:space="preserve"> 50 Display (DISPLAY1) ist über RJ45 direkt am Cerbo GX angeschlossen.</w:t>
      </w:r>
    </w:p>
    <w:p w14:paraId="2DE24A58" w14:textId="77777777" w:rsidR="006B5CFB" w:rsidRDefault="006B5CFB" w:rsidP="00E16981">
      <w:pPr>
        <w:jc w:val="both"/>
        <w:rPr>
          <w:rFonts w:cs="Arial"/>
        </w:rPr>
      </w:pPr>
    </w:p>
    <w:p w14:paraId="767AFBB1" w14:textId="77777777" w:rsidR="009812EA" w:rsidRDefault="009812EA" w:rsidP="00E16981">
      <w:pPr>
        <w:jc w:val="both"/>
        <w:rPr>
          <w:rFonts w:cs="Arial"/>
        </w:rPr>
        <w:sectPr w:rsidR="009812EA" w:rsidSect="00303B13">
          <w:pgSz w:w="11906" w:h="16838"/>
          <w:pgMar w:top="1417" w:right="1417" w:bottom="1134" w:left="1417" w:header="708" w:footer="708" w:gutter="0"/>
          <w:cols w:space="708"/>
          <w:docGrid w:linePitch="360"/>
        </w:sectPr>
      </w:pPr>
    </w:p>
    <w:p w14:paraId="770373E3" w14:textId="4A39DB19" w:rsidR="006B5CFB" w:rsidRPr="004A13F8" w:rsidRDefault="004A13F8" w:rsidP="0052036E">
      <w:pPr>
        <w:ind w:left="708"/>
        <w:jc w:val="both"/>
        <w:rPr>
          <w:rFonts w:cs="Arial"/>
          <w:b/>
          <w:bCs/>
          <w:sz w:val="32"/>
          <w:szCs w:val="32"/>
        </w:rPr>
      </w:pPr>
      <w:r w:rsidRPr="004A13F8">
        <w:rPr>
          <w:rFonts w:cs="Arial"/>
          <w:b/>
          <w:bCs/>
          <w:i/>
          <w:iCs/>
          <w:noProof/>
          <w:sz w:val="32"/>
          <w:szCs w:val="32"/>
        </w:rPr>
        <w:lastRenderedPageBreak/>
        <w:drawing>
          <wp:anchor distT="0" distB="0" distL="114300" distR="114300" simplePos="0" relativeHeight="251658239" behindDoc="0" locked="0" layoutInCell="1" allowOverlap="1" wp14:anchorId="7515BEC1" wp14:editId="444C6DAC">
            <wp:simplePos x="0" y="0"/>
            <wp:positionH relativeFrom="margin">
              <wp:posOffset>1144307</wp:posOffset>
            </wp:positionH>
            <wp:positionV relativeFrom="paragraph">
              <wp:posOffset>318845</wp:posOffset>
            </wp:positionV>
            <wp:extent cx="7697470" cy="5130165"/>
            <wp:effectExtent l="0" t="0" r="0" b="0"/>
            <wp:wrapTopAndBottom/>
            <wp:docPr id="330273360" name="Grafik 1"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73360" name="Grafik 1" descr="Ein Bild, das Text, Diagramm, Plan, technische Zeichnung enthält.&#10;&#10;KI-generierte Inhalte können fehlerhaft sein."/>
                    <pic:cNvPicPr/>
                  </pic:nvPicPr>
                  <pic:blipFill>
                    <a:blip r:embed="rId7">
                      <a:extLst>
                        <a:ext uri="{28A0092B-C50C-407E-A947-70E740481C1C}">
                          <a14:useLocalDpi xmlns:a14="http://schemas.microsoft.com/office/drawing/2010/main" val="0"/>
                        </a:ext>
                      </a:extLst>
                    </a:blip>
                    <a:stretch>
                      <a:fillRect/>
                    </a:stretch>
                  </pic:blipFill>
                  <pic:spPr>
                    <a:xfrm>
                      <a:off x="0" y="0"/>
                      <a:ext cx="7697470" cy="5130165"/>
                    </a:xfrm>
                    <a:prstGeom prst="rect">
                      <a:avLst/>
                    </a:prstGeom>
                  </pic:spPr>
                </pic:pic>
              </a:graphicData>
            </a:graphic>
            <wp14:sizeRelH relativeFrom="margin">
              <wp14:pctWidth>0</wp14:pctWidth>
            </wp14:sizeRelH>
            <wp14:sizeRelV relativeFrom="margin">
              <wp14:pctHeight>0</wp14:pctHeight>
            </wp14:sizeRelV>
          </wp:anchor>
        </w:drawing>
      </w:r>
      <w:r w:rsidRPr="004A13F8">
        <w:rPr>
          <w:b/>
          <w:bCs/>
          <w:noProof/>
          <w:sz w:val="32"/>
          <w:szCs w:val="32"/>
        </w:rPr>
        <mc:AlternateContent>
          <mc:Choice Requires="wps">
            <w:drawing>
              <wp:anchor distT="0" distB="0" distL="114300" distR="114300" simplePos="0" relativeHeight="251663360" behindDoc="0" locked="0" layoutInCell="1" allowOverlap="1" wp14:anchorId="2025D601" wp14:editId="6D375B2F">
                <wp:simplePos x="0" y="0"/>
                <wp:positionH relativeFrom="column">
                  <wp:posOffset>466090</wp:posOffset>
                </wp:positionH>
                <wp:positionV relativeFrom="paragraph">
                  <wp:posOffset>5491106</wp:posOffset>
                </wp:positionV>
                <wp:extent cx="5761355" cy="635"/>
                <wp:effectExtent l="0" t="0" r="0" b="0"/>
                <wp:wrapTopAndBottom/>
                <wp:docPr id="752341431" name="Textfeld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15AB7570" w14:textId="106AA938" w:rsidR="00900872" w:rsidRPr="00D549AE" w:rsidRDefault="00900872" w:rsidP="00900872">
                            <w:pPr>
                              <w:pStyle w:val="Beschriftung"/>
                              <w:rPr>
                                <w:rFonts w:cs="Arial"/>
                                <w:sz w:val="22"/>
                                <w:szCs w:val="22"/>
                              </w:rPr>
                            </w:pPr>
                            <w:bookmarkStart w:id="38" w:name="_Toc222766087"/>
                            <w:r>
                              <w:t xml:space="preserve">Abbildung </w:t>
                            </w:r>
                            <w:r w:rsidR="00415B2E">
                              <w:t>2</w:t>
                            </w:r>
                            <w:r>
                              <w:t>: Schaltplan des hybriden 12-V-Energiesystems (</w:t>
                            </w:r>
                            <w:proofErr w:type="spellStart"/>
                            <w:r>
                              <w:t>KiCad</w:t>
                            </w:r>
                            <w:proofErr w:type="spellEnd"/>
                            <w:r>
                              <w:t>, eigene Darstellung)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5D601" id="_x0000_s1027" type="#_x0000_t202" style="position:absolute;left:0;text-align:left;margin-left:36.7pt;margin-top:432.35pt;width:453.6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" stroked="f">
                <v:textbox style="mso-fit-shape-to-text:t" inset="0,0,0,0">
                  <w:txbxContent>
                    <w:p w14:paraId="15AB7570" w14:textId="106AA938" w:rsidR="00900872" w:rsidRPr="00D549AE" w:rsidRDefault="00900872" w:rsidP="00900872">
                      <w:pPr>
                        <w:pStyle w:val="Beschriftung"/>
                        <w:rPr>
                          <w:rFonts w:cs="Arial"/>
                          <w:sz w:val="22"/>
                          <w:szCs w:val="22"/>
                        </w:rPr>
                      </w:pPr>
                      <w:bookmarkStart w:id="39" w:name="_Toc222766087"/>
                      <w:r>
                        <w:t xml:space="preserve">Abbildung </w:t>
                      </w:r>
                      <w:r w:rsidR="00415B2E">
                        <w:t>2</w:t>
                      </w:r>
                      <w:r>
                        <w:t>: Schaltplan des hybriden 12-V-Energiesystems (</w:t>
                      </w:r>
                      <w:proofErr w:type="spellStart"/>
                      <w:r>
                        <w:t>KiCad</w:t>
                      </w:r>
                      <w:proofErr w:type="spellEnd"/>
                      <w:r>
                        <w:t>, eigene Darstellung)</w:t>
                      </w:r>
                      <w:bookmarkEnd w:id="39"/>
                    </w:p>
                  </w:txbxContent>
                </v:textbox>
                <w10:wrap type="topAndBottom"/>
              </v:shape>
            </w:pict>
          </mc:Fallback>
        </mc:AlternateContent>
      </w:r>
      <w:r w:rsidRPr="004A13F8">
        <w:rPr>
          <w:rFonts w:cs="Arial"/>
          <w:b/>
          <w:bCs/>
          <w:sz w:val="32"/>
          <w:szCs w:val="32"/>
        </w:rPr>
        <w:t>Schaltplan Verteilerschrank</w:t>
      </w:r>
    </w:p>
    <w:p w14:paraId="3C5E9FAF" w14:textId="368BC0FA" w:rsidR="006B5CFB" w:rsidRPr="004A13F8" w:rsidRDefault="004A13F8" w:rsidP="0052036E">
      <w:pPr>
        <w:ind w:left="708"/>
        <w:jc w:val="both"/>
        <w:rPr>
          <w:rFonts w:cs="Arial"/>
          <w:b/>
          <w:bCs/>
          <w:sz w:val="32"/>
          <w:szCs w:val="32"/>
        </w:rPr>
      </w:pPr>
      <w:r w:rsidRPr="004A13F8">
        <w:rPr>
          <w:rFonts w:cs="Arial"/>
          <w:b/>
          <w:bCs/>
          <w:sz w:val="32"/>
          <w:szCs w:val="32"/>
        </w:rPr>
        <w:lastRenderedPageBreak/>
        <w:t>Systemschema – Hybrides 12-V-Energiesystem</w:t>
      </w:r>
    </w:p>
    <w:p w14:paraId="2821CE6E" w14:textId="7742BE5D" w:rsidR="006B5CFB" w:rsidRDefault="004A13F8" w:rsidP="0052036E">
      <w:pPr>
        <w:ind w:left="708"/>
        <w:jc w:val="both"/>
        <w:rPr>
          <w:rFonts w:cs="Arial"/>
        </w:rPr>
      </w:pPr>
      <w:r w:rsidRPr="006B5CFB">
        <w:rPr>
          <w:rFonts w:cs="Arial"/>
          <w:noProof/>
        </w:rPr>
        <w:drawing>
          <wp:anchor distT="0" distB="0" distL="114300" distR="114300" simplePos="0" relativeHeight="251667456" behindDoc="0" locked="0" layoutInCell="1" allowOverlap="1" wp14:anchorId="35EEB9A4" wp14:editId="6A094EF8">
            <wp:simplePos x="0" y="0"/>
            <wp:positionH relativeFrom="column">
              <wp:posOffset>-593090</wp:posOffset>
            </wp:positionH>
            <wp:positionV relativeFrom="paragraph">
              <wp:posOffset>266700</wp:posOffset>
            </wp:positionV>
            <wp:extent cx="10462260" cy="4353560"/>
            <wp:effectExtent l="0" t="0" r="0" b="8890"/>
            <wp:wrapTopAndBottom/>
            <wp:docPr id="874136088"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6088" name="Grafik 1" descr="Ein Bild, das Text, Diagramm, Screenshot, Plan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10462260" cy="4353560"/>
                    </a:xfrm>
                    <a:prstGeom prst="rect">
                      <a:avLst/>
                    </a:prstGeom>
                  </pic:spPr>
                </pic:pic>
              </a:graphicData>
            </a:graphic>
            <wp14:sizeRelH relativeFrom="margin">
              <wp14:pctWidth>0</wp14:pctWidth>
            </wp14:sizeRelH>
            <wp14:sizeRelV relativeFrom="margin">
              <wp14:pctHeight>0</wp14:pctHeight>
            </wp14:sizeRelV>
          </wp:anchor>
        </w:drawing>
      </w:r>
    </w:p>
    <w:p w14:paraId="63D9E16C" w14:textId="568DE6A0" w:rsidR="006B5CFB" w:rsidRDefault="009B125F" w:rsidP="006B5CFB">
      <w:pPr>
        <w:ind w:left="708"/>
        <w:jc w:val="both"/>
        <w:rPr>
          <w:rFonts w:cs="Arial"/>
        </w:rPr>
      </w:pPr>
      <w:r>
        <w:rPr>
          <w:noProof/>
        </w:rPr>
        <mc:AlternateContent>
          <mc:Choice Requires="wps">
            <w:drawing>
              <wp:anchor distT="0" distB="0" distL="114300" distR="114300" simplePos="0" relativeHeight="251669504" behindDoc="0" locked="0" layoutInCell="1" allowOverlap="1" wp14:anchorId="45F57009" wp14:editId="3D7AD76C">
                <wp:simplePos x="0" y="0"/>
                <wp:positionH relativeFrom="column">
                  <wp:posOffset>395605</wp:posOffset>
                </wp:positionH>
                <wp:positionV relativeFrom="paragraph">
                  <wp:posOffset>4511040</wp:posOffset>
                </wp:positionV>
                <wp:extent cx="4302760" cy="635"/>
                <wp:effectExtent l="0" t="0" r="2540" b="0"/>
                <wp:wrapTopAndBottom/>
                <wp:docPr id="1869527557" name="Textfeld 1"/>
                <wp:cNvGraphicFramePr/>
                <a:graphic xmlns:a="http://schemas.openxmlformats.org/drawingml/2006/main">
                  <a:graphicData uri="http://schemas.microsoft.com/office/word/2010/wordprocessingShape">
                    <wps:wsp>
                      <wps:cNvSpPr txBox="1"/>
                      <wps:spPr>
                        <a:xfrm>
                          <a:off x="0" y="0"/>
                          <a:ext cx="4302760" cy="635"/>
                        </a:xfrm>
                        <a:prstGeom prst="rect">
                          <a:avLst/>
                        </a:prstGeom>
                        <a:solidFill>
                          <a:prstClr val="white"/>
                        </a:solidFill>
                        <a:ln>
                          <a:noFill/>
                        </a:ln>
                      </wps:spPr>
                      <wps:txbx>
                        <w:txbxContent>
                          <w:p w14:paraId="793B3120" w14:textId="4F97B55F" w:rsidR="004A13F8" w:rsidRPr="00507129" w:rsidRDefault="004A13F8" w:rsidP="004A13F8">
                            <w:pPr>
                              <w:pStyle w:val="Beschriftung"/>
                              <w:rPr>
                                <w:rFonts w:cs="Arial"/>
                                <w:sz w:val="22"/>
                                <w:szCs w:val="22"/>
                              </w:rPr>
                            </w:pPr>
                            <w:bookmarkStart w:id="40" w:name="_Toc222766088"/>
                            <w:r>
                              <w:t xml:space="preserve">Abbildung </w:t>
                            </w:r>
                            <w:r w:rsidR="00415B2E">
                              <w:t>3</w:t>
                            </w:r>
                            <w:r>
                              <w:t xml:space="preserve">: </w:t>
                            </w:r>
                            <w:r w:rsidRPr="004A13F8">
                              <w:t>Systemschema des hybriden 12-V-Energiesystems (eigene Darstellung)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F57009" id="_x0000_s1028" type="#_x0000_t202" style="position:absolute;left:0;text-align:left;margin-left:31.15pt;margin-top:355.2pt;width:338.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dWr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7m+n844JCkmKLmw+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" stroked="f">
                <v:textbox style="mso-fit-shape-to-text:t" inset="0,0,0,0">
                  <w:txbxContent>
                    <w:p w14:paraId="793B3120" w14:textId="4F97B55F" w:rsidR="004A13F8" w:rsidRPr="00507129" w:rsidRDefault="004A13F8" w:rsidP="004A13F8">
                      <w:pPr>
                        <w:pStyle w:val="Beschriftung"/>
                        <w:rPr>
                          <w:rFonts w:cs="Arial"/>
                          <w:sz w:val="22"/>
                          <w:szCs w:val="22"/>
                        </w:rPr>
                      </w:pPr>
                      <w:bookmarkStart w:id="41" w:name="_Toc222766088"/>
                      <w:r>
                        <w:t xml:space="preserve">Abbildung </w:t>
                      </w:r>
                      <w:r w:rsidR="00415B2E">
                        <w:t>3</w:t>
                      </w:r>
                      <w:r>
                        <w:t xml:space="preserve">: </w:t>
                      </w:r>
                      <w:r w:rsidRPr="004A13F8">
                        <w:t>Systemschema des hybriden 12-V-Energiesystems (eigene Darstellung)</w:t>
                      </w:r>
                      <w:bookmarkEnd w:id="41"/>
                    </w:p>
                  </w:txbxContent>
                </v:textbox>
                <w10:wrap type="topAndBottom"/>
              </v:shape>
            </w:pict>
          </mc:Fallback>
        </mc:AlternateContent>
      </w:r>
    </w:p>
    <w:p w14:paraId="17375C9A" w14:textId="77777777" w:rsidR="006B5CFB" w:rsidRDefault="006B5CFB" w:rsidP="0052036E">
      <w:pPr>
        <w:ind w:left="708"/>
        <w:jc w:val="both"/>
        <w:rPr>
          <w:rFonts w:cs="Arial"/>
        </w:rPr>
        <w:sectPr w:rsidR="006B5CFB" w:rsidSect="006B5CFB">
          <w:pgSz w:w="16838" w:h="11906" w:orient="landscape"/>
          <w:pgMar w:top="1417" w:right="1417" w:bottom="1417" w:left="1134" w:header="708" w:footer="708" w:gutter="0"/>
          <w:cols w:space="708"/>
          <w:docGrid w:linePitch="360"/>
        </w:sectPr>
      </w:pPr>
    </w:p>
    <w:p w14:paraId="5B3863DA" w14:textId="77777777" w:rsidR="006A38A0" w:rsidRPr="006A38A0" w:rsidRDefault="006A38A0" w:rsidP="006A38A0">
      <w:pPr>
        <w:pStyle w:val="berschrift1"/>
      </w:pPr>
      <w:bookmarkStart w:id="42" w:name="_Toc222767624"/>
      <w:r w:rsidRPr="006A38A0">
        <w:lastRenderedPageBreak/>
        <w:t>4.9 Zusammenfassung und Ausblick</w:t>
      </w:r>
      <w:bookmarkEnd w:id="42"/>
    </w:p>
    <w:p w14:paraId="1D5B8E52" w14:textId="77777777" w:rsidR="006A38A0" w:rsidRPr="006A38A0" w:rsidRDefault="006A38A0" w:rsidP="006A38A0">
      <w:pPr>
        <w:ind w:left="708"/>
        <w:jc w:val="both"/>
        <w:rPr>
          <w:rFonts w:cs="Arial"/>
        </w:rPr>
      </w:pPr>
      <w:r w:rsidRPr="006A38A0">
        <w:rPr>
          <w:rFonts w:cs="Arial"/>
        </w:rPr>
        <w:t>Das Ziel dieses Teils der Diplomarbeit war der Aufbau und die Inbetriebnahme eines hybriden Energie-Management-Systems für ein automatisiertes Gewächshaus sowie die wirtschaftliche Bewertung des Konzepts. Im Folgenden werden die erreichten Ergebnisse bewertet und Potenziale für eine Weiterentwicklung aufgezeigt.</w:t>
      </w:r>
    </w:p>
    <w:p w14:paraId="5C6F9762" w14:textId="77777777" w:rsidR="006A38A0" w:rsidRPr="006A38A0" w:rsidRDefault="006A38A0" w:rsidP="006A38A0">
      <w:pPr>
        <w:pStyle w:val="berschrift2"/>
      </w:pPr>
      <w:bookmarkStart w:id="43" w:name="_Toc222767625"/>
      <w:r w:rsidRPr="006A38A0">
        <w:t>4.9.1 Erreichte Ziele und Erfahrungen</w:t>
      </w:r>
      <w:bookmarkEnd w:id="43"/>
    </w:p>
    <w:p w14:paraId="400F8243" w14:textId="08B891E9" w:rsidR="006A38A0" w:rsidRPr="006A38A0" w:rsidRDefault="006A38A0" w:rsidP="006A38A0">
      <w:pPr>
        <w:ind w:left="708"/>
        <w:jc w:val="both"/>
        <w:rPr>
          <w:rFonts w:cs="Arial"/>
        </w:rPr>
      </w:pPr>
      <w:r w:rsidRPr="006A38A0">
        <w:rPr>
          <w:rFonts w:cs="Arial"/>
        </w:rPr>
        <w:t>Die zwei zentralen Ziele dieses Projektteils konnten erfolgreich umgesetzt werden. Der Prototyp wurde vollständig aufgebaut und in Betrieb genommen. Das hybride Energiesystem bestehend aus einem 1</w:t>
      </w:r>
      <w:r w:rsidR="002D4634">
        <w:rPr>
          <w:rFonts w:cs="Arial"/>
        </w:rPr>
        <w:t>8</w:t>
      </w:r>
      <w:r w:rsidRPr="006A38A0">
        <w:rPr>
          <w:rFonts w:cs="Arial"/>
        </w:rPr>
        <w:t>0</w:t>
      </w:r>
      <w:r w:rsidR="002D4634">
        <w:rPr>
          <w:rFonts w:cs="Arial"/>
        </w:rPr>
        <w:t> </w:t>
      </w:r>
      <w:r w:rsidRPr="006A38A0">
        <w:rPr>
          <w:rFonts w:cs="Arial"/>
        </w:rPr>
        <w:t>W Photovoltaikmodul, einem 12</w:t>
      </w:r>
      <w:r w:rsidR="002D4634">
        <w:rPr>
          <w:rFonts w:cs="Arial"/>
        </w:rPr>
        <w:t> </w:t>
      </w:r>
      <w:r w:rsidRPr="006A38A0">
        <w:rPr>
          <w:rFonts w:cs="Arial"/>
        </w:rPr>
        <w:t>V 100</w:t>
      </w:r>
      <w:r w:rsidR="002D4634">
        <w:rPr>
          <w:rFonts w:cs="Arial"/>
        </w:rPr>
        <w:t> </w:t>
      </w:r>
      <w:r w:rsidRPr="006A38A0">
        <w:rPr>
          <w:rFonts w:cs="Arial"/>
        </w:rPr>
        <w:t xml:space="preserve">Ah </w:t>
      </w:r>
      <w:proofErr w:type="spellStart"/>
      <w:r w:rsidRPr="006A38A0">
        <w:rPr>
          <w:rFonts w:cs="Arial"/>
        </w:rPr>
        <w:t>LiFePO</w:t>
      </w:r>
      <w:proofErr w:type="spellEnd"/>
      <w:r w:rsidRPr="006A38A0">
        <w:rPr>
          <w:rFonts w:cs="Arial"/>
        </w:rPr>
        <w:t>₄-Akkusystem und dem Victron MultiPlus 12/800 arbeitet stabil und demonstriert das Zusammenspiel von PV-</w:t>
      </w:r>
      <w:r w:rsidR="002D4634">
        <w:rPr>
          <w:rFonts w:cs="Arial"/>
        </w:rPr>
        <w:t>Energieerzeugung</w:t>
      </w:r>
      <w:r w:rsidRPr="006A38A0">
        <w:rPr>
          <w:rFonts w:cs="Arial"/>
        </w:rPr>
        <w:t>, Batteriespeicherung und Netz-Backup</w:t>
      </w:r>
      <w:r w:rsidR="002D4634">
        <w:rPr>
          <w:rFonts w:cs="Arial"/>
        </w:rPr>
        <w:t xml:space="preserve">. </w:t>
      </w:r>
      <w:r w:rsidRPr="006A38A0">
        <w:rPr>
          <w:rFonts w:cs="Arial"/>
        </w:rPr>
        <w:t>Darüber hinaus wurde eine umfassende Wirtschaftlichkeitsanalyse durchgeführt, die zeigt, dass das Konzept bei einer Skalierung auf 10</w:t>
      </w:r>
      <w:r w:rsidR="002D4634">
        <w:rPr>
          <w:rFonts w:cs="Arial"/>
        </w:rPr>
        <w:t> </w:t>
      </w:r>
      <w:r w:rsidRPr="006A38A0">
        <w:rPr>
          <w:rFonts w:cs="Arial"/>
        </w:rPr>
        <w:t>m² mit einer Amortisationszeit von rund 4,6</w:t>
      </w:r>
      <w:r w:rsidR="002D4634">
        <w:rPr>
          <w:rFonts w:cs="Arial"/>
        </w:rPr>
        <w:t> J</w:t>
      </w:r>
      <w:r w:rsidRPr="006A38A0">
        <w:rPr>
          <w:rFonts w:cs="Arial"/>
        </w:rPr>
        <w:t>ahren und einem ROI von etwa 21,5</w:t>
      </w:r>
      <w:r w:rsidR="002D4634">
        <w:rPr>
          <w:rFonts w:cs="Arial"/>
        </w:rPr>
        <w:t> </w:t>
      </w:r>
      <w:r w:rsidRPr="006A38A0">
        <w:rPr>
          <w:rFonts w:cs="Arial"/>
        </w:rPr>
        <w:t>% wirtschaftlich attraktiv ist.</w:t>
      </w:r>
    </w:p>
    <w:p w14:paraId="2E052141" w14:textId="77B138E4" w:rsidR="006A38A0" w:rsidRPr="006A38A0" w:rsidRDefault="006A38A0" w:rsidP="006A38A0">
      <w:pPr>
        <w:ind w:left="708"/>
        <w:jc w:val="both"/>
        <w:rPr>
          <w:rFonts w:cs="Arial"/>
        </w:rPr>
      </w:pPr>
      <w:r w:rsidRPr="006A38A0">
        <w:rPr>
          <w:rFonts w:cs="Arial"/>
        </w:rPr>
        <w:t>Eine reale Umsetzung</w:t>
      </w:r>
      <w:r w:rsidR="002D4634">
        <w:rPr>
          <w:rFonts w:cs="Arial"/>
        </w:rPr>
        <w:t xml:space="preserve"> eines </w:t>
      </w:r>
      <w:r w:rsidR="002D4634" w:rsidRPr="006A38A0">
        <w:rPr>
          <w:rFonts w:cs="Arial"/>
        </w:rPr>
        <w:t>10</w:t>
      </w:r>
      <w:r w:rsidR="002D4634">
        <w:rPr>
          <w:rFonts w:cs="Arial"/>
        </w:rPr>
        <w:t> </w:t>
      </w:r>
      <w:r w:rsidR="002D4634" w:rsidRPr="006A38A0">
        <w:rPr>
          <w:rFonts w:cs="Arial"/>
        </w:rPr>
        <w:t xml:space="preserve">m² </w:t>
      </w:r>
      <w:r w:rsidR="002D4634">
        <w:rPr>
          <w:rFonts w:cs="Arial"/>
        </w:rPr>
        <w:t xml:space="preserve">Gewächshauses </w:t>
      </w:r>
      <w:r w:rsidRPr="006A38A0">
        <w:rPr>
          <w:rFonts w:cs="Arial"/>
        </w:rPr>
        <w:t>würde weitere Erkenntnisse liefern, insbesondere hinsichtlich der tatsächlichen Lastverteilung</w:t>
      </w:r>
      <w:r w:rsidR="002D4634">
        <w:rPr>
          <w:rFonts w:cs="Arial"/>
        </w:rPr>
        <w:t xml:space="preserve">, </w:t>
      </w:r>
      <w:r w:rsidRPr="006A38A0">
        <w:rPr>
          <w:rFonts w:cs="Arial"/>
        </w:rPr>
        <w:t>des saisonalen Speicherverhaltens</w:t>
      </w:r>
      <w:r w:rsidR="002D4634">
        <w:rPr>
          <w:rFonts w:cs="Arial"/>
        </w:rPr>
        <w:t xml:space="preserve"> und Kombinationsmöglichkeiten mit anderen erneuerbaren </w:t>
      </w:r>
      <w:r w:rsidR="002D4634" w:rsidRPr="002D4634">
        <w:rPr>
          <w:rFonts w:cs="Arial"/>
        </w:rPr>
        <w:t>Energie Versorgungsarten</w:t>
      </w:r>
      <w:r w:rsidRPr="006A38A0">
        <w:rPr>
          <w:rFonts w:cs="Arial"/>
        </w:rPr>
        <w:t>. Zudem führten Kommunikationsmissverständnisse mit dem Projektsponsor im Verlauf der Arbeit zu Verzögerungen und einer notwendigen Neuausrichtung einzelner Anforderungen. Diese Erfahrung unterstreicht, wie wichtig eine frühzeitige und präzise Abstimmung der Erwartungen</w:t>
      </w:r>
      <w:r w:rsidR="000F5547">
        <w:rPr>
          <w:rFonts w:cs="Arial"/>
        </w:rPr>
        <w:t xml:space="preserve">, </w:t>
      </w:r>
      <w:r w:rsidRPr="006A38A0">
        <w:rPr>
          <w:rFonts w:cs="Arial"/>
        </w:rPr>
        <w:t>Systemgrenzen</w:t>
      </w:r>
      <w:r w:rsidR="000F5547">
        <w:rPr>
          <w:rFonts w:cs="Arial"/>
        </w:rPr>
        <w:t xml:space="preserve"> und Fähigkeiten</w:t>
      </w:r>
      <w:r w:rsidRPr="006A38A0">
        <w:rPr>
          <w:rFonts w:cs="Arial"/>
        </w:rPr>
        <w:t xml:space="preserve"> </w:t>
      </w:r>
      <w:r w:rsidR="000F5547">
        <w:rPr>
          <w:rFonts w:cs="Arial"/>
        </w:rPr>
        <w:t>aller</w:t>
      </w:r>
      <w:r w:rsidRPr="006A38A0">
        <w:rPr>
          <w:rFonts w:cs="Arial"/>
        </w:rPr>
        <w:t xml:space="preserve"> Projektbeteiligten ist – insbesondere bei technischen Projekten mit externen Partnern.</w:t>
      </w:r>
    </w:p>
    <w:p w14:paraId="15D97715" w14:textId="77777777" w:rsidR="006A38A0" w:rsidRPr="006A38A0" w:rsidRDefault="006A38A0" w:rsidP="006A38A0">
      <w:pPr>
        <w:pStyle w:val="berschrift2"/>
      </w:pPr>
      <w:bookmarkStart w:id="44" w:name="_Toc222767626"/>
      <w:r w:rsidRPr="006A38A0">
        <w:t>4.9.2 Optimierungspotenzial und Ausblick</w:t>
      </w:r>
      <w:bookmarkEnd w:id="44"/>
    </w:p>
    <w:p w14:paraId="52BA2A82" w14:textId="733928C8" w:rsidR="006A38A0" w:rsidRPr="006A38A0" w:rsidRDefault="006A38A0" w:rsidP="006A38A0">
      <w:pPr>
        <w:ind w:left="708"/>
        <w:jc w:val="both"/>
        <w:rPr>
          <w:rFonts w:cs="Arial"/>
        </w:rPr>
      </w:pPr>
      <w:r w:rsidRPr="006A38A0">
        <w:rPr>
          <w:rFonts w:cs="Arial"/>
        </w:rPr>
        <w:t>Sollte ein solches System in einer realen Gewächshausanlage umgesetzt werden, ist die Standortanalyse ein entscheidender Planungsschritt. Die verfügbaren Energiequellen hängen stark von der geografischen Lage und den natürlichen Gegebenheiten ab. An windreichen Standorten kann eine Kleinwindanlage die saisonal geringere PV-Erzeugung im Winter sinnvoll ergänzen</w:t>
      </w:r>
      <w:r w:rsidR="000F5547">
        <w:rPr>
          <w:rFonts w:cs="Arial"/>
        </w:rPr>
        <w:t xml:space="preserve"> </w:t>
      </w:r>
      <w:r w:rsidRPr="006A38A0">
        <w:rPr>
          <w:rFonts w:cs="Arial"/>
        </w:rPr>
        <w:t>und damit die Schwachstelle der PV</w:t>
      </w:r>
      <w:r w:rsidR="000F5547">
        <w:rPr>
          <w:rFonts w:cs="Arial"/>
        </w:rPr>
        <w:t>-Anlage</w:t>
      </w:r>
      <w:r w:rsidRPr="006A38A0">
        <w:rPr>
          <w:rFonts w:cs="Arial"/>
        </w:rPr>
        <w:t xml:space="preserve"> ausgleicht. Bei Gewächshäusern in der Nähe von Bächen oder Flüssen könnte eine Kleinwasserkraft</w:t>
      </w:r>
      <w:r w:rsidR="000F5547">
        <w:rPr>
          <w:rFonts w:cs="Arial"/>
        </w:rPr>
        <w:t>werk</w:t>
      </w:r>
      <w:r w:rsidRPr="006A38A0">
        <w:rPr>
          <w:rFonts w:cs="Arial"/>
        </w:rPr>
        <w:t xml:space="preserve"> als kontinuierliche Grundlastquelle geprüft werden, da Wasserkraft im Gegensatz zu PV</w:t>
      </w:r>
      <w:r w:rsidR="000F5547">
        <w:rPr>
          <w:rFonts w:cs="Arial"/>
        </w:rPr>
        <w:t>-Energie</w:t>
      </w:r>
      <w:r w:rsidRPr="006A38A0">
        <w:rPr>
          <w:rFonts w:cs="Arial"/>
        </w:rPr>
        <w:t xml:space="preserve"> und Wind weitgehend wetterunabhängig ist. Ziel der Standortplanung sollte es sein, die vorhandenen natürlichen Ressourcen so zu kombinieren, dass eine möglichst hohe Versorgungssicherheit bei gleichzeitig niedrigen Erzeugungskosten erreicht wird.</w:t>
      </w:r>
    </w:p>
    <w:p w14:paraId="61AD42CB" w14:textId="5DCE75EE" w:rsidR="006A38A0" w:rsidRDefault="006A38A0" w:rsidP="00FF4DC9">
      <w:pPr>
        <w:ind w:left="708"/>
        <w:jc w:val="both"/>
        <w:rPr>
          <w:rFonts w:cs="Arial"/>
        </w:rPr>
      </w:pPr>
      <w:r w:rsidRPr="006A38A0">
        <w:rPr>
          <w:rFonts w:cs="Arial"/>
        </w:rPr>
        <w:t>Ein weiterer naheliegender Schritt ist die Skalierung des Konzepts auf größere Gewächshausanlagen. Die in dieser Arbeit durchgeführte Wirtschaftlichkeitsanalyse zeigt, dass größere Anlagen aufgrund niedrigerer spezifischer Kosten pro kWp tendenziell wirtschaftlicher sind. Bei einer Skalierung wären jedoch nicht nur die Komponentendimensionierung anzupassen, sondern auch die Systemarchitektur neu zu bewerten – etwa hinsichtlich der Wahl zwischen 12</w:t>
      </w:r>
      <w:r w:rsidR="00915B5F">
        <w:rPr>
          <w:rFonts w:cs="Arial"/>
        </w:rPr>
        <w:t> </w:t>
      </w:r>
      <w:r w:rsidRPr="006A38A0">
        <w:rPr>
          <w:rFonts w:cs="Arial"/>
        </w:rPr>
        <w:t>V, 24</w:t>
      </w:r>
      <w:r w:rsidR="00915B5F">
        <w:rPr>
          <w:rFonts w:cs="Arial"/>
        </w:rPr>
        <w:t> </w:t>
      </w:r>
      <w:r w:rsidRPr="006A38A0">
        <w:rPr>
          <w:rFonts w:cs="Arial"/>
        </w:rPr>
        <w:t>V oder 48</w:t>
      </w:r>
      <w:r w:rsidR="00915B5F">
        <w:rPr>
          <w:rFonts w:cs="Arial"/>
        </w:rPr>
        <w:t> </w:t>
      </w:r>
      <w:r w:rsidRPr="006A38A0">
        <w:rPr>
          <w:rFonts w:cs="Arial"/>
        </w:rPr>
        <w:t>V Systemspannung, der Anzahl der Batteriemodule sowie der Leistungsklasse des Wechselrichters. Zudem würde eine größere Anlage die softwareseitige Laststeuerung deutlich relevanter machen, da bei mehreren parallel betriebenen Verbrauchern eine intelligente Priorisierung auf Basis von Echtzeitdaten – etwa über die MQTT-Schnittstelle des Cerbo GX – erhebliches Einsparpotenzial bietet.</w:t>
      </w:r>
    </w:p>
    <w:p w14:paraId="2729A8F7" w14:textId="602E8352" w:rsidR="000A7CA8" w:rsidRPr="000A7CA8" w:rsidRDefault="008924AE" w:rsidP="000A7CA8">
      <w:pPr>
        <w:pStyle w:val="berschrift1"/>
      </w:pPr>
      <w:bookmarkStart w:id="45" w:name="_Toc222767627"/>
      <w:r>
        <w:lastRenderedPageBreak/>
        <w:t xml:space="preserve">5. </w:t>
      </w:r>
      <w:r w:rsidR="000A7CA8" w:rsidRPr="000A7CA8">
        <w:t>Quellenverzeichnis</w:t>
      </w:r>
      <w:bookmarkEnd w:id="45"/>
    </w:p>
    <w:p w14:paraId="31AF8AB4" w14:textId="77777777" w:rsidR="003B62FE" w:rsidRPr="003B62FE" w:rsidRDefault="000A7CA8" w:rsidP="003B62FE">
      <w:pPr>
        <w:pStyle w:val="Literaturverzeichnis"/>
        <w:rPr>
          <w:rFonts w:ascii="Aptos" w:hAnsi="Aptos"/>
        </w:rPr>
      </w:pPr>
      <w:r>
        <w:fldChar w:fldCharType="begin"/>
      </w:r>
      <w:r>
        <w:instrText xml:space="preserve"> ADDIN ZOTERO_BIBL {"uncited":[],"omitted":[],"custom":[]} CSL_BIBLIOGRAPHY </w:instrText>
      </w:r>
      <w:r>
        <w:fldChar w:fldCharType="separate"/>
      </w:r>
      <w:r w:rsidR="003B62FE" w:rsidRPr="003B62FE">
        <w:rPr>
          <w:rFonts w:ascii="Aptos" w:hAnsi="Aptos"/>
        </w:rPr>
        <w:t>[1]</w:t>
      </w:r>
      <w:r w:rsidR="003B62FE" w:rsidRPr="003B62FE">
        <w:rPr>
          <w:rFonts w:ascii="Aptos" w:hAnsi="Aptos"/>
        </w:rPr>
        <w:tab/>
        <w:t>Photovoltaik.org, „Bedeutung der Photovoltaik-Kennlinie“, Photovoltaik.org. Zugegriffen: 27. Januar 2026. [Online]. Verfügbar unter: https://photovoltaik.org/solarstrom/elektro/kennlinie</w:t>
      </w:r>
    </w:p>
    <w:p w14:paraId="3668D8AF" w14:textId="77777777" w:rsidR="003B62FE" w:rsidRPr="003B62FE" w:rsidRDefault="003B62FE" w:rsidP="003B62FE">
      <w:pPr>
        <w:pStyle w:val="Literaturverzeichnis"/>
        <w:rPr>
          <w:rFonts w:ascii="Aptos" w:hAnsi="Aptos"/>
        </w:rPr>
      </w:pPr>
      <w:r w:rsidRPr="003B62FE">
        <w:rPr>
          <w:rFonts w:ascii="Aptos" w:hAnsi="Aptos"/>
        </w:rPr>
        <w:t>[2]</w:t>
      </w:r>
      <w:r w:rsidRPr="003B62FE">
        <w:rPr>
          <w:rFonts w:ascii="Aptos" w:hAnsi="Aptos"/>
        </w:rPr>
        <w:tab/>
        <w:t>„2. Allgemeine Beschreibung“. Zugegriffen: 5. Februar 2026. [Online]. Verfügbar unter: https://www.victronenergy.com/media/pg/SmartSolar_MPPT_RS/de/general-description.html</w:t>
      </w:r>
    </w:p>
    <w:p w14:paraId="6F4D7B60" w14:textId="77777777" w:rsidR="003B62FE" w:rsidRPr="003B62FE" w:rsidRDefault="003B62FE" w:rsidP="003B62FE">
      <w:pPr>
        <w:pStyle w:val="Literaturverzeichnis"/>
        <w:rPr>
          <w:rFonts w:ascii="Aptos" w:hAnsi="Aptos"/>
        </w:rPr>
      </w:pPr>
      <w:r w:rsidRPr="003B62FE">
        <w:rPr>
          <w:rFonts w:ascii="Aptos" w:hAnsi="Aptos"/>
        </w:rPr>
        <w:t>[3]</w:t>
      </w:r>
      <w:r w:rsidRPr="003B62FE">
        <w:rPr>
          <w:rFonts w:ascii="Aptos" w:hAnsi="Aptos"/>
        </w:rPr>
        <w:tab/>
        <w:t>„Zeitliche Variation der Sonnen­ein­strah­lung“, pv-wissen.de. Zugegriffen: 6. Februar 2026. [Online]. Verfügbar unter: https://www.pv-wissen.de/zeitliche-variation-der-sonneneinstrahlung/</w:t>
      </w:r>
    </w:p>
    <w:p w14:paraId="0A830EDC" w14:textId="77777777" w:rsidR="003B62FE" w:rsidRPr="003B62FE" w:rsidRDefault="003B62FE" w:rsidP="003B62FE">
      <w:pPr>
        <w:pStyle w:val="Literaturverzeichnis"/>
        <w:rPr>
          <w:rFonts w:ascii="Aptos" w:hAnsi="Aptos"/>
        </w:rPr>
      </w:pPr>
      <w:r w:rsidRPr="003B62FE">
        <w:rPr>
          <w:rFonts w:ascii="Aptos" w:hAnsi="Aptos"/>
        </w:rPr>
        <w:t>[4]</w:t>
      </w:r>
      <w:r w:rsidRPr="003B62FE">
        <w:rPr>
          <w:rFonts w:ascii="Aptos" w:hAnsi="Aptos"/>
        </w:rPr>
        <w:tab/>
        <w:t>„Sonnenstand“, pv-wissen.de. Zugegriffen: 6. Februar 2026. [Online]. Verfügbar unter: https://www.pv-wissen.de/sonnenstand/</w:t>
      </w:r>
    </w:p>
    <w:p w14:paraId="60DDC07F" w14:textId="77777777" w:rsidR="003B62FE" w:rsidRPr="003B62FE" w:rsidRDefault="003B62FE" w:rsidP="003B62FE">
      <w:pPr>
        <w:pStyle w:val="Literaturverzeichnis"/>
        <w:rPr>
          <w:rFonts w:ascii="Aptos" w:hAnsi="Aptos"/>
        </w:rPr>
      </w:pPr>
      <w:r w:rsidRPr="003B62FE">
        <w:rPr>
          <w:rFonts w:ascii="Aptos" w:hAnsi="Aptos"/>
        </w:rPr>
        <w:t>[5]</w:t>
      </w:r>
      <w:r w:rsidRPr="003B62FE">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362EB948" w14:textId="77777777" w:rsidR="003B62FE" w:rsidRPr="003B62FE" w:rsidRDefault="003B62FE" w:rsidP="003B62FE">
      <w:pPr>
        <w:pStyle w:val="Literaturverzeichnis"/>
        <w:rPr>
          <w:rFonts w:ascii="Aptos" w:hAnsi="Aptos"/>
        </w:rPr>
      </w:pPr>
      <w:r w:rsidRPr="003B62FE">
        <w:rPr>
          <w:rFonts w:ascii="Aptos" w:hAnsi="Aptos"/>
        </w:rPr>
        <w:t>[6]</w:t>
      </w:r>
      <w:r w:rsidRPr="003B62FE">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3986BD46" w14:textId="77777777" w:rsidR="003B62FE" w:rsidRPr="003B62FE" w:rsidRDefault="003B62FE" w:rsidP="003B62FE">
      <w:pPr>
        <w:pStyle w:val="Literaturverzeichnis"/>
        <w:rPr>
          <w:rFonts w:ascii="Aptos" w:hAnsi="Aptos"/>
        </w:rPr>
      </w:pPr>
      <w:r w:rsidRPr="003B62FE">
        <w:rPr>
          <w:rFonts w:ascii="Aptos" w:hAnsi="Aptos"/>
          <w:lang w:val="en-GB"/>
        </w:rPr>
        <w:t>[7]</w:t>
      </w:r>
      <w:r w:rsidRPr="003B62FE">
        <w:rPr>
          <w:rFonts w:ascii="Aptos" w:hAnsi="Aptos"/>
          <w:lang w:val="en-GB"/>
        </w:rPr>
        <w:tab/>
        <w:t>„</w:t>
      </w:r>
      <w:proofErr w:type="gramStart"/>
      <w:r w:rsidRPr="003B62FE">
        <w:rPr>
          <w:rFonts w:ascii="Aptos" w:hAnsi="Aptos"/>
          <w:lang w:val="en-GB"/>
        </w:rPr>
        <w:t>Datasheet-Cerbo-GX-GX-Touch-DE.pdf“</w:t>
      </w:r>
      <w:proofErr w:type="gramEnd"/>
      <w:r w:rsidRPr="003B62FE">
        <w:rPr>
          <w:rFonts w:ascii="Aptos" w:hAnsi="Aptos"/>
          <w:lang w:val="en-GB"/>
        </w:rPr>
        <w:t xml:space="preserve">. </w:t>
      </w:r>
      <w:r w:rsidRPr="003B62FE">
        <w:rPr>
          <w:rFonts w:ascii="Aptos" w:hAnsi="Aptos"/>
        </w:rPr>
        <w:t>Zugegriffen: 16. Februar 2026. [Online]. Verfügbar unter: https://www.victronenergy.de/upload/documents/Datasheet-Cerbo-GX-GX-Touch-DE.pdf</w:t>
      </w:r>
    </w:p>
    <w:p w14:paraId="0117F02A" w14:textId="77777777" w:rsidR="003B62FE" w:rsidRPr="003B62FE" w:rsidRDefault="003B62FE" w:rsidP="003B62FE">
      <w:pPr>
        <w:pStyle w:val="Literaturverzeichnis"/>
        <w:rPr>
          <w:rFonts w:ascii="Aptos" w:hAnsi="Aptos"/>
        </w:rPr>
      </w:pPr>
      <w:r w:rsidRPr="003B62FE">
        <w:rPr>
          <w:rFonts w:ascii="Aptos" w:hAnsi="Aptos"/>
        </w:rPr>
        <w:t>[8]</w:t>
      </w:r>
      <w:r w:rsidRPr="003B62FE">
        <w:rPr>
          <w:rFonts w:ascii="Aptos" w:hAnsi="Aptos"/>
        </w:rPr>
        <w:tab/>
        <w:t>„Datasheet-SmartShunt-DE.pdf“. Zugegriffen: 16. Februar 2026. [Online]. Verfügbar unter: https://www.victronenergy.de/upload/documents/Datasheet-SmartShunt-DE.pdf</w:t>
      </w:r>
    </w:p>
    <w:p w14:paraId="0E65248C" w14:textId="77777777" w:rsidR="003B62FE" w:rsidRPr="003B62FE" w:rsidRDefault="003B62FE" w:rsidP="003B62FE">
      <w:pPr>
        <w:pStyle w:val="Literaturverzeichnis"/>
        <w:rPr>
          <w:rFonts w:ascii="Aptos" w:hAnsi="Aptos"/>
        </w:rPr>
      </w:pPr>
      <w:r w:rsidRPr="003B62FE">
        <w:rPr>
          <w:rFonts w:ascii="Aptos" w:hAnsi="Aptos"/>
        </w:rPr>
        <w:t>[9]</w:t>
      </w:r>
      <w:r w:rsidRPr="003B62FE">
        <w:rPr>
          <w:rFonts w:ascii="Aptos" w:hAnsi="Aptos"/>
        </w:rPr>
        <w:tab/>
        <w:t>„Datasheet-MultiPlus-inverter-charger-800VA-5kVA-DE.pdf“. Zugegriffen: 16. Februar 2026. [Online]. Verfügbar unter: https://www.victronenergy.com/upload/documents/Datasheet-MultiPlus-inverter-charger-800VA-5kVA-DE.pdf</w:t>
      </w:r>
    </w:p>
    <w:p w14:paraId="5937C58F" w14:textId="77777777" w:rsidR="003B62FE" w:rsidRPr="003B62FE" w:rsidRDefault="003B62FE" w:rsidP="003B62FE">
      <w:pPr>
        <w:pStyle w:val="Literaturverzeichnis"/>
        <w:rPr>
          <w:rFonts w:ascii="Aptos" w:hAnsi="Aptos"/>
        </w:rPr>
      </w:pPr>
      <w:r w:rsidRPr="003B62FE">
        <w:rPr>
          <w:rFonts w:ascii="Aptos" w:hAnsi="Aptos"/>
          <w:lang w:val="en-GB"/>
        </w:rPr>
        <w:t>[10]</w:t>
      </w:r>
      <w:r w:rsidRPr="003B62FE">
        <w:rPr>
          <w:rFonts w:ascii="Aptos" w:hAnsi="Aptos"/>
          <w:lang w:val="en-GB"/>
        </w:rPr>
        <w:tab/>
        <w:t>„</w:t>
      </w:r>
      <w:proofErr w:type="gramStart"/>
      <w:r w:rsidRPr="003B62FE">
        <w:rPr>
          <w:rFonts w:ascii="Aptos" w:hAnsi="Aptos"/>
          <w:lang w:val="en-GB"/>
        </w:rPr>
        <w:t>Datasheet-AGM-Super-Cycle-battery-DE.pdf“</w:t>
      </w:r>
      <w:proofErr w:type="gramEnd"/>
      <w:r w:rsidRPr="003B62FE">
        <w:rPr>
          <w:rFonts w:ascii="Aptos" w:hAnsi="Aptos"/>
          <w:lang w:val="en-GB"/>
        </w:rPr>
        <w:t xml:space="preserve">. </w:t>
      </w:r>
      <w:r w:rsidRPr="003B62FE">
        <w:rPr>
          <w:rFonts w:ascii="Aptos" w:hAnsi="Aptos"/>
        </w:rPr>
        <w:t>Zugegriffen: 16. Februar 2026. [Online]. Verfügbar unter: https://www.victronenergy.de/upload/documents/Datasheet-AGM-Super-Cycle-battery-DE.pdf</w:t>
      </w:r>
    </w:p>
    <w:p w14:paraId="4BA2D4DB" w14:textId="77777777" w:rsidR="003B62FE" w:rsidRPr="003B62FE" w:rsidRDefault="003B62FE" w:rsidP="003B62FE">
      <w:pPr>
        <w:pStyle w:val="Literaturverzeichnis"/>
        <w:rPr>
          <w:rFonts w:ascii="Aptos" w:hAnsi="Aptos"/>
        </w:rPr>
      </w:pPr>
      <w:r w:rsidRPr="003B62FE">
        <w:rPr>
          <w:rFonts w:ascii="Aptos" w:hAnsi="Aptos"/>
          <w:lang w:val="en-GB"/>
        </w:rPr>
        <w:t>[11]</w:t>
      </w:r>
      <w:r w:rsidRPr="003B62FE">
        <w:rPr>
          <w:rFonts w:ascii="Aptos" w:hAnsi="Aptos"/>
          <w:lang w:val="en-GB"/>
        </w:rPr>
        <w:tab/>
        <w:t xml:space="preserve">„How to Optimize AGM Battery Performance for Maximum </w:t>
      </w:r>
      <w:proofErr w:type="gramStart"/>
      <w:r w:rsidRPr="003B62FE">
        <w:rPr>
          <w:rFonts w:ascii="Aptos" w:hAnsi="Aptos"/>
          <w:lang w:val="en-GB"/>
        </w:rPr>
        <w:t>Lifespan?“</w:t>
      </w:r>
      <w:proofErr w:type="gramEnd"/>
      <w:r w:rsidRPr="003B62FE">
        <w:rPr>
          <w:rFonts w:ascii="Aptos" w:hAnsi="Aptos"/>
          <w:lang w:val="en-GB"/>
        </w:rPr>
        <w:t xml:space="preserve">, How to Optimize AGM Battery Performance for Maximum Lifespan? </w:t>
      </w:r>
      <w:r w:rsidRPr="003B62FE">
        <w:rPr>
          <w:rFonts w:ascii="Aptos" w:hAnsi="Aptos"/>
        </w:rPr>
        <w:t>Zugegriffen: 16. Februar 2026. [Online]. Verfügbar unter: https://www.longwaybattery.com/de/blog/optimize-agm-battery-performance-maximum-lifespan/index.html</w:t>
      </w:r>
    </w:p>
    <w:p w14:paraId="40CCA5E2" w14:textId="77777777" w:rsidR="003B62FE" w:rsidRPr="003B62FE" w:rsidRDefault="003B62FE" w:rsidP="003B62FE">
      <w:pPr>
        <w:pStyle w:val="Literaturverzeichnis"/>
        <w:rPr>
          <w:rFonts w:ascii="Aptos" w:hAnsi="Aptos"/>
        </w:rPr>
      </w:pPr>
      <w:r w:rsidRPr="003B62FE">
        <w:rPr>
          <w:rFonts w:ascii="Aptos" w:hAnsi="Aptos"/>
          <w:lang w:val="en-GB"/>
        </w:rPr>
        <w:t>[12]</w:t>
      </w:r>
      <w:r w:rsidRPr="003B62FE">
        <w:rPr>
          <w:rFonts w:ascii="Aptos" w:hAnsi="Aptos"/>
          <w:lang w:val="en-GB"/>
        </w:rPr>
        <w:tab/>
        <w:t>„</w:t>
      </w:r>
      <w:proofErr w:type="gramStart"/>
      <w:r w:rsidRPr="003B62FE">
        <w:rPr>
          <w:rFonts w:ascii="Aptos" w:hAnsi="Aptos"/>
          <w:lang w:val="en-GB"/>
        </w:rPr>
        <w:t>Datasheet-Orion-Tr-Smart-DC-DC-chargers-isolated-250-400W-DE.pdf“</w:t>
      </w:r>
      <w:proofErr w:type="gramEnd"/>
      <w:r w:rsidRPr="003B62FE">
        <w:rPr>
          <w:rFonts w:ascii="Aptos" w:hAnsi="Aptos"/>
          <w:lang w:val="en-GB"/>
        </w:rPr>
        <w:t xml:space="preserve">. </w:t>
      </w:r>
      <w:r w:rsidRPr="003B62FE">
        <w:rPr>
          <w:rFonts w:ascii="Aptos" w:hAnsi="Aptos"/>
        </w:rPr>
        <w:t>Zugegriffen: 17. Februar 2026. [Online]. Verfügbar unter: https://www.victronenergy.de/upload/documents/Datasheet-Orion-Tr-Smart-DC-DC-chargers-isolated-250-400W-DE.pdf</w:t>
      </w:r>
    </w:p>
    <w:p w14:paraId="06049E28" w14:textId="77777777" w:rsidR="003B62FE" w:rsidRPr="003B62FE" w:rsidRDefault="003B62FE" w:rsidP="003B62FE">
      <w:pPr>
        <w:pStyle w:val="Literaturverzeichnis"/>
        <w:rPr>
          <w:rFonts w:ascii="Aptos" w:hAnsi="Aptos"/>
        </w:rPr>
      </w:pPr>
      <w:r w:rsidRPr="003B62FE">
        <w:rPr>
          <w:rFonts w:ascii="Aptos" w:hAnsi="Aptos"/>
        </w:rPr>
        <w:t>[13]</w:t>
      </w:r>
      <w:r w:rsidRPr="003B62FE">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7A3409D8" w14:textId="77777777" w:rsidR="003B62FE" w:rsidRPr="003B62FE" w:rsidRDefault="003B62FE" w:rsidP="003B62FE">
      <w:pPr>
        <w:pStyle w:val="Literaturverzeichnis"/>
        <w:rPr>
          <w:rFonts w:ascii="Aptos" w:hAnsi="Aptos"/>
        </w:rPr>
      </w:pPr>
      <w:r w:rsidRPr="003B62FE">
        <w:rPr>
          <w:rFonts w:ascii="Aptos" w:hAnsi="Aptos"/>
        </w:rPr>
        <w:lastRenderedPageBreak/>
        <w:t>[14]</w:t>
      </w:r>
      <w:r w:rsidRPr="003B62FE">
        <w:rPr>
          <w:rFonts w:ascii="Aptos" w:hAnsi="Aptos"/>
        </w:rPr>
        <w:tab/>
        <w:t>„2.1 AGM vs. Lithium - Was ist besser?“ Zugegriffen: 17. Februar 2026. [Online]. Verfügbar unter: http://greenboatsolutions.de/ratgeber/agm-vs-lithium?srsltid=AfmBOoq4MEVKskN6v5GYbOgMlML4Zs3DHCf-YTXt-HHQTaIWApUYtA6a</w:t>
      </w:r>
    </w:p>
    <w:p w14:paraId="396A8ED7" w14:textId="77777777" w:rsidR="003B62FE" w:rsidRPr="003B62FE" w:rsidRDefault="003B62FE" w:rsidP="003B62FE">
      <w:pPr>
        <w:pStyle w:val="Literaturverzeichnis"/>
        <w:rPr>
          <w:rFonts w:ascii="Aptos" w:hAnsi="Aptos"/>
        </w:rPr>
      </w:pPr>
      <w:r w:rsidRPr="003B62FE">
        <w:rPr>
          <w:rFonts w:ascii="Aptos" w:hAnsi="Aptos"/>
        </w:rPr>
        <w:t>[15]</w:t>
      </w:r>
      <w:r w:rsidRPr="003B62FE">
        <w:rPr>
          <w:rFonts w:ascii="Aptos" w:hAnsi="Aptos"/>
        </w:rPr>
        <w:tab/>
        <w:t>M. Vader, „Datenkommunikation mit Victron Energy Produkten“.</w:t>
      </w:r>
    </w:p>
    <w:p w14:paraId="47F6B32F" w14:textId="77777777" w:rsidR="003B62FE" w:rsidRPr="003B62FE" w:rsidRDefault="003B62FE" w:rsidP="003B62FE">
      <w:pPr>
        <w:pStyle w:val="Literaturverzeichnis"/>
        <w:rPr>
          <w:rFonts w:ascii="Aptos" w:hAnsi="Aptos"/>
        </w:rPr>
      </w:pPr>
      <w:r w:rsidRPr="003B62FE">
        <w:rPr>
          <w:rFonts w:ascii="Aptos" w:hAnsi="Aptos"/>
          <w:lang w:val="en-GB"/>
        </w:rPr>
        <w:t>[16]</w:t>
      </w:r>
      <w:r w:rsidRPr="003B62FE">
        <w:rPr>
          <w:rFonts w:ascii="Aptos" w:hAnsi="Aptos"/>
          <w:lang w:val="en-GB"/>
        </w:rPr>
        <w:tab/>
        <w:t xml:space="preserve">„GX Modbus-TCP Manual [Victron </w:t>
      </w:r>
      <w:proofErr w:type="gramStart"/>
      <w:r w:rsidRPr="003B62FE">
        <w:rPr>
          <w:rFonts w:ascii="Aptos" w:hAnsi="Aptos"/>
          <w:lang w:val="en-GB"/>
        </w:rPr>
        <w:t>Energy]“</w:t>
      </w:r>
      <w:proofErr w:type="gramEnd"/>
      <w:r w:rsidRPr="003B62FE">
        <w:rPr>
          <w:rFonts w:ascii="Aptos" w:hAnsi="Aptos"/>
          <w:lang w:val="en-GB"/>
        </w:rPr>
        <w:t xml:space="preserve">. </w:t>
      </w:r>
      <w:r w:rsidRPr="003B62FE">
        <w:rPr>
          <w:rFonts w:ascii="Aptos" w:hAnsi="Aptos"/>
        </w:rPr>
        <w:t>Zugegriffen: 19. Februar 2026. [Online]. Verfügbar unter: https://www.victronenergy.com/live/ccgx:modbustcp_faq</w:t>
      </w:r>
    </w:p>
    <w:p w14:paraId="5E44ED2F" w14:textId="77777777" w:rsidR="003B62FE" w:rsidRPr="003B62FE" w:rsidRDefault="003B62FE" w:rsidP="003B62FE">
      <w:pPr>
        <w:pStyle w:val="Literaturverzeichnis"/>
        <w:rPr>
          <w:rFonts w:ascii="Aptos" w:hAnsi="Aptos"/>
        </w:rPr>
      </w:pPr>
      <w:r w:rsidRPr="003B62FE">
        <w:rPr>
          <w:rFonts w:ascii="Aptos" w:hAnsi="Aptos"/>
        </w:rPr>
        <w:t>[17]</w:t>
      </w:r>
      <w:r w:rsidRPr="003B62FE">
        <w:rPr>
          <w:rFonts w:ascii="Aptos" w:hAnsi="Aptos"/>
        </w:rPr>
        <w:tab/>
        <w:t xml:space="preserve">„Photovoltaik Kosten &amp; Ertrag inkl. </w:t>
      </w:r>
      <w:proofErr w:type="gramStart"/>
      <w:r w:rsidRPr="003B62FE">
        <w:rPr>
          <w:rFonts w:ascii="Aptos" w:hAnsi="Aptos"/>
        </w:rPr>
        <w:t>PV Rechner</w:t>
      </w:r>
      <w:proofErr w:type="gramEnd"/>
      <w:r w:rsidRPr="003B62FE">
        <w:rPr>
          <w:rFonts w:ascii="Aptos" w:hAnsi="Aptos"/>
        </w:rPr>
        <w:t xml:space="preserve"> - Salzburg AG für Energie, Verkehr &amp; Telekommunikation“. Zugegriffen: 19. Februar 2026. [Online]. Verfügbar unter: https://www.salzburg-ag.at/photovoltaik/privat/infos-ratgeber/wirtschaftlichkeit-finanzierung/pv-kosten-rechner.html</w:t>
      </w:r>
    </w:p>
    <w:p w14:paraId="154C1F7C" w14:textId="77777777" w:rsidR="003B62FE" w:rsidRPr="003B62FE" w:rsidRDefault="003B62FE" w:rsidP="003B62FE">
      <w:pPr>
        <w:pStyle w:val="Literaturverzeichnis"/>
        <w:rPr>
          <w:rFonts w:ascii="Aptos" w:hAnsi="Aptos"/>
        </w:rPr>
      </w:pPr>
      <w:r w:rsidRPr="003B62FE">
        <w:rPr>
          <w:rFonts w:ascii="Aptos" w:hAnsi="Aptos"/>
        </w:rPr>
        <w:t>[18]</w:t>
      </w:r>
      <w:r w:rsidRPr="003B62FE">
        <w:rPr>
          <w:rFonts w:ascii="Aptos" w:hAnsi="Aptos"/>
        </w:rPr>
        <w:tab/>
        <w:t>„Klima: Tirol in Österreich“, Laenderdaten.info. Zugegriffen: 20. Februar 2026. [Online]. Verfügbar unter: https://www.laenderdaten.info/Europa/Oesterreich/Klima-Tirol.php</w:t>
      </w:r>
    </w:p>
    <w:p w14:paraId="246091BE" w14:textId="77777777" w:rsidR="003B62FE" w:rsidRPr="003B62FE" w:rsidRDefault="003B62FE" w:rsidP="003B62FE">
      <w:pPr>
        <w:pStyle w:val="Literaturverzeichnis"/>
        <w:rPr>
          <w:rFonts w:ascii="Aptos" w:hAnsi="Aptos"/>
        </w:rPr>
      </w:pPr>
      <w:r w:rsidRPr="003B62FE">
        <w:rPr>
          <w:rFonts w:ascii="Aptos" w:hAnsi="Aptos"/>
        </w:rPr>
        <w:t>[19]</w:t>
      </w:r>
      <w:r w:rsidRPr="003B62FE">
        <w:rPr>
          <w:rFonts w:ascii="Aptos" w:hAnsi="Aptos"/>
        </w:rPr>
        <w:tab/>
        <w:t>„Strompreisindizes: AEA - Österreichische Energieagentur“. Zugegriffen: 19. Februar 2026. [Online]. Verfügbar unter: https://www.energyagency.at/fakten/strompreisindizes</w:t>
      </w:r>
    </w:p>
    <w:p w14:paraId="27C3FA9F" w14:textId="77777777" w:rsidR="003B62FE" w:rsidRPr="003B62FE" w:rsidRDefault="003B62FE" w:rsidP="003B62FE">
      <w:pPr>
        <w:pStyle w:val="Literaturverzeichnis"/>
        <w:rPr>
          <w:rFonts w:ascii="Aptos" w:hAnsi="Aptos"/>
        </w:rPr>
      </w:pPr>
      <w:r w:rsidRPr="003B62FE">
        <w:rPr>
          <w:rFonts w:ascii="Aptos" w:hAnsi="Aptos"/>
        </w:rPr>
        <w:t>[20]</w:t>
      </w:r>
      <w:r w:rsidRPr="003B62FE">
        <w:rPr>
          <w:rFonts w:ascii="Aptos" w:hAnsi="Aptos"/>
        </w:rPr>
        <w:tab/>
        <w:t>„Einspeisetarife in Österreich für Photovoltaik - Vergleich“. Zugegriffen: 20. Februar 2026. [Online]. Verfügbar unter: https://www.stromrechner.at/einspeisetarif</w:t>
      </w:r>
    </w:p>
    <w:p w14:paraId="71516739" w14:textId="152EF4BA" w:rsidR="003D6115" w:rsidRDefault="000A7CA8" w:rsidP="00303B13">
      <w:r>
        <w:fldChar w:fldCharType="end"/>
      </w:r>
    </w:p>
    <w:p w14:paraId="0DECCEFC" w14:textId="77777777" w:rsidR="003D6115" w:rsidRPr="005A0007" w:rsidRDefault="003D6115" w:rsidP="00303B13"/>
    <w:p w14:paraId="6DCBDF76" w14:textId="1B772A33" w:rsidR="003D6115" w:rsidRDefault="008924AE" w:rsidP="000A7CA8">
      <w:pPr>
        <w:pStyle w:val="berschrift1"/>
      </w:pPr>
      <w:bookmarkStart w:id="46" w:name="_Toc222767628"/>
      <w:r>
        <w:t xml:space="preserve">6. </w:t>
      </w:r>
      <w:r w:rsidR="000A7CA8">
        <w:t>Abbildungsverzeichnis</w:t>
      </w:r>
      <w:bookmarkEnd w:id="46"/>
    </w:p>
    <w:p w14:paraId="1E1A4964" w14:textId="74CA9319" w:rsidR="00C54E98" w:rsidRDefault="00750B78">
      <w:pPr>
        <w:pStyle w:val="Abbildungsverzeichnis"/>
        <w:tabs>
          <w:tab w:val="right" w:leader="dot" w:pos="9062"/>
        </w:tabs>
        <w:rPr>
          <w:rFonts w:eastAsiaTheme="minorEastAsia"/>
          <w:noProof/>
          <w:sz w:val="24"/>
          <w:szCs w:val="24"/>
          <w:lang w:eastAsia="de-AT"/>
        </w:rPr>
      </w:pPr>
      <w:r>
        <w:fldChar w:fldCharType="begin"/>
      </w:r>
      <w:r>
        <w:instrText xml:space="preserve"> TOC \h \z \c "Abbildung" </w:instrText>
      </w:r>
      <w:r>
        <w:fldChar w:fldCharType="separate"/>
      </w:r>
      <w:hyperlink w:anchor="_Toc222766086" w:history="1">
        <w:r w:rsidR="00C54E98" w:rsidRPr="008C3D32">
          <w:rPr>
            <w:rStyle w:val="Hyperlink"/>
            <w:noProof/>
          </w:rPr>
          <w:t>Abbildung 1: I-U- und P-U-Kennlinie</w:t>
        </w:r>
        <w:r w:rsidR="00D425E3">
          <w:rPr>
            <w:rStyle w:val="Hyperlink"/>
            <w:noProof/>
          </w:rPr>
          <w:tab/>
        </w:r>
        <w:r w:rsidR="00C54E98">
          <w:rPr>
            <w:noProof/>
            <w:webHidden/>
          </w:rPr>
          <w:fldChar w:fldCharType="begin"/>
        </w:r>
        <w:r w:rsidR="00C54E98">
          <w:rPr>
            <w:noProof/>
            <w:webHidden/>
          </w:rPr>
          <w:instrText xml:space="preserve"> PAGEREF _Toc222766086 \h </w:instrText>
        </w:r>
        <w:r w:rsidR="00C54E98">
          <w:rPr>
            <w:noProof/>
            <w:webHidden/>
          </w:rPr>
        </w:r>
        <w:r w:rsidR="00C54E98">
          <w:rPr>
            <w:noProof/>
            <w:webHidden/>
          </w:rPr>
          <w:fldChar w:fldCharType="separate"/>
        </w:r>
        <w:r w:rsidR="00CA2418">
          <w:rPr>
            <w:noProof/>
            <w:webHidden/>
          </w:rPr>
          <w:t>4</w:t>
        </w:r>
        <w:r w:rsidR="00C54E98">
          <w:rPr>
            <w:noProof/>
            <w:webHidden/>
          </w:rPr>
          <w:fldChar w:fldCharType="end"/>
        </w:r>
      </w:hyperlink>
    </w:p>
    <w:p w14:paraId="717E4210" w14:textId="57C2F6CE" w:rsidR="00C54E98" w:rsidRDefault="00C54E98">
      <w:pPr>
        <w:pStyle w:val="Abbildungsverzeichnis"/>
        <w:tabs>
          <w:tab w:val="right" w:leader="dot" w:pos="9062"/>
        </w:tabs>
        <w:rPr>
          <w:rFonts w:eastAsiaTheme="minorEastAsia"/>
          <w:noProof/>
          <w:sz w:val="24"/>
          <w:szCs w:val="24"/>
          <w:lang w:eastAsia="de-AT"/>
        </w:rPr>
      </w:pPr>
      <w:hyperlink w:anchor="_Toc222766087" w:history="1">
        <w:r w:rsidRPr="008C3D32">
          <w:rPr>
            <w:rStyle w:val="Hyperlink"/>
            <w:noProof/>
          </w:rPr>
          <w:t>Abbildung 2: Schaltplan des hybriden 12-V-Energiesystems (KiCad, eigene Darstellung)</w:t>
        </w:r>
        <w:r>
          <w:rPr>
            <w:noProof/>
            <w:webHidden/>
          </w:rPr>
          <w:tab/>
        </w:r>
        <w:r>
          <w:rPr>
            <w:noProof/>
            <w:webHidden/>
          </w:rPr>
          <w:fldChar w:fldCharType="begin"/>
        </w:r>
        <w:r>
          <w:rPr>
            <w:noProof/>
            <w:webHidden/>
          </w:rPr>
          <w:instrText xml:space="preserve"> PAGEREF _Toc222766087 \h </w:instrText>
        </w:r>
        <w:r>
          <w:rPr>
            <w:noProof/>
            <w:webHidden/>
          </w:rPr>
        </w:r>
        <w:r>
          <w:rPr>
            <w:noProof/>
            <w:webHidden/>
          </w:rPr>
          <w:fldChar w:fldCharType="separate"/>
        </w:r>
        <w:r w:rsidR="00CA2418">
          <w:rPr>
            <w:noProof/>
            <w:webHidden/>
          </w:rPr>
          <w:t>17</w:t>
        </w:r>
        <w:r>
          <w:rPr>
            <w:noProof/>
            <w:webHidden/>
          </w:rPr>
          <w:fldChar w:fldCharType="end"/>
        </w:r>
      </w:hyperlink>
    </w:p>
    <w:p w14:paraId="13B95D9F" w14:textId="5A15107E" w:rsidR="00C54E98" w:rsidRDefault="00C54E98">
      <w:pPr>
        <w:pStyle w:val="Abbildungsverzeichnis"/>
        <w:tabs>
          <w:tab w:val="right" w:leader="dot" w:pos="9062"/>
        </w:tabs>
        <w:rPr>
          <w:rFonts w:eastAsiaTheme="minorEastAsia"/>
          <w:noProof/>
          <w:sz w:val="24"/>
          <w:szCs w:val="24"/>
          <w:lang w:eastAsia="de-AT"/>
        </w:rPr>
      </w:pPr>
      <w:hyperlink w:anchor="_Toc222766088" w:history="1">
        <w:r w:rsidRPr="008C3D32">
          <w:rPr>
            <w:rStyle w:val="Hyperlink"/>
            <w:noProof/>
          </w:rPr>
          <w:t>Abbildung 3: Systemschema des hybriden 12-V-Energiesystems (eigene Darstellung)</w:t>
        </w:r>
        <w:r>
          <w:rPr>
            <w:noProof/>
            <w:webHidden/>
          </w:rPr>
          <w:tab/>
        </w:r>
        <w:r>
          <w:rPr>
            <w:noProof/>
            <w:webHidden/>
          </w:rPr>
          <w:fldChar w:fldCharType="begin"/>
        </w:r>
        <w:r>
          <w:rPr>
            <w:noProof/>
            <w:webHidden/>
          </w:rPr>
          <w:instrText xml:space="preserve"> PAGEREF _Toc222766088 \h </w:instrText>
        </w:r>
        <w:r>
          <w:rPr>
            <w:noProof/>
            <w:webHidden/>
          </w:rPr>
        </w:r>
        <w:r>
          <w:rPr>
            <w:noProof/>
            <w:webHidden/>
          </w:rPr>
          <w:fldChar w:fldCharType="separate"/>
        </w:r>
        <w:r w:rsidR="00CA2418">
          <w:rPr>
            <w:noProof/>
            <w:webHidden/>
          </w:rPr>
          <w:t>18</w:t>
        </w:r>
        <w:r>
          <w:rPr>
            <w:noProof/>
            <w:webHidden/>
          </w:rPr>
          <w:fldChar w:fldCharType="end"/>
        </w:r>
      </w:hyperlink>
    </w:p>
    <w:p w14:paraId="1A73378F" w14:textId="49494F57" w:rsidR="000A7CA8" w:rsidRDefault="00750B78" w:rsidP="000A7CA8">
      <w:r>
        <w:fldChar w:fldCharType="end"/>
      </w:r>
    </w:p>
    <w:p w14:paraId="36AF413B" w14:textId="77777777" w:rsidR="001830EE" w:rsidRDefault="001830EE" w:rsidP="000A7CA8"/>
    <w:p w14:paraId="42AA78DB" w14:textId="4D4E2B20" w:rsidR="003A1A4D" w:rsidRDefault="003A1A4D" w:rsidP="003A1A4D">
      <w:pPr>
        <w:pStyle w:val="berschrift1"/>
      </w:pPr>
      <w:bookmarkStart w:id="47" w:name="_Toc222767629"/>
      <w:r>
        <w:t>7 Tabellenverzeichnis</w:t>
      </w:r>
      <w:bookmarkEnd w:id="47"/>
    </w:p>
    <w:p w14:paraId="1021F914" w14:textId="62C6D7B5" w:rsidR="00061C47" w:rsidRDefault="003A1A4D">
      <w:pPr>
        <w:pStyle w:val="Abbildungsverzeichnis"/>
        <w:tabs>
          <w:tab w:val="right" w:leader="dot" w:pos="9062"/>
        </w:tabs>
        <w:rPr>
          <w:rFonts w:eastAsiaTheme="minorEastAsia"/>
          <w:noProof/>
          <w:sz w:val="24"/>
          <w:szCs w:val="24"/>
          <w:lang w:eastAsia="de-AT"/>
        </w:rPr>
      </w:pPr>
      <w:r>
        <w:fldChar w:fldCharType="begin"/>
      </w:r>
      <w:r>
        <w:instrText xml:space="preserve"> TOC \h \z \c "Tabelle" </w:instrText>
      </w:r>
      <w:r>
        <w:fldChar w:fldCharType="separate"/>
      </w:r>
      <w:hyperlink w:anchor="_Toc222767574" w:history="1">
        <w:r w:rsidR="00061C47" w:rsidRPr="002611DC">
          <w:rPr>
            <w:rStyle w:val="Hyperlink"/>
            <w:noProof/>
          </w:rPr>
          <w:t>Tabelle 1: Technischer Vergleich von AGM, Gel und LiFePO4 Batterien</w:t>
        </w:r>
        <w:r w:rsidR="00061C47">
          <w:rPr>
            <w:noProof/>
            <w:webHidden/>
          </w:rPr>
          <w:tab/>
        </w:r>
        <w:r w:rsidR="00061C47">
          <w:rPr>
            <w:noProof/>
            <w:webHidden/>
          </w:rPr>
          <w:fldChar w:fldCharType="begin"/>
        </w:r>
        <w:r w:rsidR="00061C47">
          <w:rPr>
            <w:noProof/>
            <w:webHidden/>
          </w:rPr>
          <w:instrText xml:space="preserve"> PAGEREF _Toc222767574 \h </w:instrText>
        </w:r>
        <w:r w:rsidR="00061C47">
          <w:rPr>
            <w:noProof/>
            <w:webHidden/>
          </w:rPr>
        </w:r>
        <w:r w:rsidR="00061C47">
          <w:rPr>
            <w:noProof/>
            <w:webHidden/>
          </w:rPr>
          <w:fldChar w:fldCharType="separate"/>
        </w:r>
        <w:r w:rsidR="00CA2418">
          <w:rPr>
            <w:noProof/>
            <w:webHidden/>
          </w:rPr>
          <w:t>10</w:t>
        </w:r>
        <w:r w:rsidR="00061C47">
          <w:rPr>
            <w:noProof/>
            <w:webHidden/>
          </w:rPr>
          <w:fldChar w:fldCharType="end"/>
        </w:r>
      </w:hyperlink>
    </w:p>
    <w:p w14:paraId="025D3036" w14:textId="2B6D5D69" w:rsidR="00061C47" w:rsidRDefault="00061C47">
      <w:pPr>
        <w:pStyle w:val="Abbildungsverzeichnis"/>
        <w:tabs>
          <w:tab w:val="right" w:leader="dot" w:pos="9062"/>
        </w:tabs>
        <w:rPr>
          <w:rFonts w:eastAsiaTheme="minorEastAsia"/>
          <w:noProof/>
          <w:sz w:val="24"/>
          <w:szCs w:val="24"/>
          <w:lang w:eastAsia="de-AT"/>
        </w:rPr>
      </w:pPr>
      <w:hyperlink w:anchor="_Toc222767575" w:history="1">
        <w:r w:rsidRPr="002611DC">
          <w:rPr>
            <w:rStyle w:val="Hyperlink"/>
            <w:noProof/>
          </w:rPr>
          <w:t>Tabelle 2: Gegenüberstellung von Insellösung, Hybridsystem und Netzeinspeisung</w:t>
        </w:r>
        <w:r>
          <w:rPr>
            <w:noProof/>
            <w:webHidden/>
          </w:rPr>
          <w:tab/>
        </w:r>
        <w:r>
          <w:rPr>
            <w:noProof/>
            <w:webHidden/>
          </w:rPr>
          <w:fldChar w:fldCharType="begin"/>
        </w:r>
        <w:r>
          <w:rPr>
            <w:noProof/>
            <w:webHidden/>
          </w:rPr>
          <w:instrText xml:space="preserve"> PAGEREF _Toc222767575 \h </w:instrText>
        </w:r>
        <w:r>
          <w:rPr>
            <w:noProof/>
            <w:webHidden/>
          </w:rPr>
        </w:r>
        <w:r>
          <w:rPr>
            <w:noProof/>
            <w:webHidden/>
          </w:rPr>
          <w:fldChar w:fldCharType="separate"/>
        </w:r>
        <w:r w:rsidR="00CA2418">
          <w:rPr>
            <w:noProof/>
            <w:webHidden/>
          </w:rPr>
          <w:t>13</w:t>
        </w:r>
        <w:r>
          <w:rPr>
            <w:noProof/>
            <w:webHidden/>
          </w:rPr>
          <w:fldChar w:fldCharType="end"/>
        </w:r>
      </w:hyperlink>
    </w:p>
    <w:p w14:paraId="7A3D7776" w14:textId="4C0F4715" w:rsidR="001830EE" w:rsidRDefault="003A1A4D" w:rsidP="000A7CA8">
      <w:r>
        <w:fldChar w:fldCharType="end"/>
      </w:r>
    </w:p>
    <w:p w14:paraId="0E13D914" w14:textId="77777777" w:rsidR="00827FBA" w:rsidRDefault="00827FBA" w:rsidP="000A7CA8"/>
    <w:sectPr w:rsidR="00827FBA" w:rsidSect="006B5CF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11E5A"/>
    <w:rsid w:val="00031E80"/>
    <w:rsid w:val="00041519"/>
    <w:rsid w:val="00043CFC"/>
    <w:rsid w:val="00052E86"/>
    <w:rsid w:val="00060741"/>
    <w:rsid w:val="00061C47"/>
    <w:rsid w:val="00097BCE"/>
    <w:rsid w:val="000A2703"/>
    <w:rsid w:val="000A7CA8"/>
    <w:rsid w:val="000C52CA"/>
    <w:rsid w:val="000C768E"/>
    <w:rsid w:val="000D119C"/>
    <w:rsid w:val="000D220D"/>
    <w:rsid w:val="000D23AA"/>
    <w:rsid w:val="000D50CC"/>
    <w:rsid w:val="000E550B"/>
    <w:rsid w:val="000F5547"/>
    <w:rsid w:val="00105A36"/>
    <w:rsid w:val="00105ED7"/>
    <w:rsid w:val="00107563"/>
    <w:rsid w:val="00111D08"/>
    <w:rsid w:val="00123332"/>
    <w:rsid w:val="0014420E"/>
    <w:rsid w:val="001462B2"/>
    <w:rsid w:val="001559CB"/>
    <w:rsid w:val="001572E4"/>
    <w:rsid w:val="00161B22"/>
    <w:rsid w:val="001658BC"/>
    <w:rsid w:val="00173D73"/>
    <w:rsid w:val="00174E10"/>
    <w:rsid w:val="001763B1"/>
    <w:rsid w:val="001830EE"/>
    <w:rsid w:val="00186EE0"/>
    <w:rsid w:val="001910B0"/>
    <w:rsid w:val="001A7376"/>
    <w:rsid w:val="001C1238"/>
    <w:rsid w:val="001C7F86"/>
    <w:rsid w:val="001D3375"/>
    <w:rsid w:val="001D57CE"/>
    <w:rsid w:val="001F6C3C"/>
    <w:rsid w:val="002070A3"/>
    <w:rsid w:val="0022146C"/>
    <w:rsid w:val="00222C03"/>
    <w:rsid w:val="0023347B"/>
    <w:rsid w:val="00287D37"/>
    <w:rsid w:val="00293421"/>
    <w:rsid w:val="00295780"/>
    <w:rsid w:val="002B3A8B"/>
    <w:rsid w:val="002B61A2"/>
    <w:rsid w:val="002C429C"/>
    <w:rsid w:val="002D2A5D"/>
    <w:rsid w:val="002D4634"/>
    <w:rsid w:val="002E5B5D"/>
    <w:rsid w:val="002F2F14"/>
    <w:rsid w:val="00303B13"/>
    <w:rsid w:val="0030753F"/>
    <w:rsid w:val="00310E86"/>
    <w:rsid w:val="00313FCF"/>
    <w:rsid w:val="00315E99"/>
    <w:rsid w:val="00320887"/>
    <w:rsid w:val="00320B4A"/>
    <w:rsid w:val="00363126"/>
    <w:rsid w:val="003A0571"/>
    <w:rsid w:val="003A1A4D"/>
    <w:rsid w:val="003B62FE"/>
    <w:rsid w:val="003D543B"/>
    <w:rsid w:val="003D6115"/>
    <w:rsid w:val="003E515A"/>
    <w:rsid w:val="003E5C32"/>
    <w:rsid w:val="003F1A22"/>
    <w:rsid w:val="003F7209"/>
    <w:rsid w:val="003F7F0B"/>
    <w:rsid w:val="00415B2E"/>
    <w:rsid w:val="00434D65"/>
    <w:rsid w:val="00444FFB"/>
    <w:rsid w:val="004527B3"/>
    <w:rsid w:val="00482B2F"/>
    <w:rsid w:val="00490047"/>
    <w:rsid w:val="004A13F8"/>
    <w:rsid w:val="004A1ADC"/>
    <w:rsid w:val="004B478B"/>
    <w:rsid w:val="004C7082"/>
    <w:rsid w:val="004F0705"/>
    <w:rsid w:val="0052036E"/>
    <w:rsid w:val="00521728"/>
    <w:rsid w:val="00521E7E"/>
    <w:rsid w:val="0052589C"/>
    <w:rsid w:val="005404C5"/>
    <w:rsid w:val="00545D09"/>
    <w:rsid w:val="00551D71"/>
    <w:rsid w:val="00554362"/>
    <w:rsid w:val="00555442"/>
    <w:rsid w:val="005A0007"/>
    <w:rsid w:val="005C5DEF"/>
    <w:rsid w:val="005D250E"/>
    <w:rsid w:val="005F22A4"/>
    <w:rsid w:val="00602A75"/>
    <w:rsid w:val="00604D04"/>
    <w:rsid w:val="00606B7F"/>
    <w:rsid w:val="00621FA3"/>
    <w:rsid w:val="00637C9F"/>
    <w:rsid w:val="006546F4"/>
    <w:rsid w:val="00666FE5"/>
    <w:rsid w:val="00670589"/>
    <w:rsid w:val="00671816"/>
    <w:rsid w:val="00686CB9"/>
    <w:rsid w:val="00690038"/>
    <w:rsid w:val="00693A84"/>
    <w:rsid w:val="006A38A0"/>
    <w:rsid w:val="006A5D89"/>
    <w:rsid w:val="006B35D5"/>
    <w:rsid w:val="006B5CFB"/>
    <w:rsid w:val="006F5925"/>
    <w:rsid w:val="0073192A"/>
    <w:rsid w:val="0073420E"/>
    <w:rsid w:val="00736459"/>
    <w:rsid w:val="00741E99"/>
    <w:rsid w:val="00744C8E"/>
    <w:rsid w:val="007452D6"/>
    <w:rsid w:val="00750B78"/>
    <w:rsid w:val="0076295C"/>
    <w:rsid w:val="007801B0"/>
    <w:rsid w:val="007A7CD1"/>
    <w:rsid w:val="007B400A"/>
    <w:rsid w:val="007D4070"/>
    <w:rsid w:val="007D41DA"/>
    <w:rsid w:val="0081028F"/>
    <w:rsid w:val="008149C1"/>
    <w:rsid w:val="00827FBA"/>
    <w:rsid w:val="00832715"/>
    <w:rsid w:val="00832FEE"/>
    <w:rsid w:val="008469A7"/>
    <w:rsid w:val="00847F09"/>
    <w:rsid w:val="00850491"/>
    <w:rsid w:val="008668BB"/>
    <w:rsid w:val="00884E58"/>
    <w:rsid w:val="008924AE"/>
    <w:rsid w:val="008C19EB"/>
    <w:rsid w:val="008C5B4F"/>
    <w:rsid w:val="008C7E55"/>
    <w:rsid w:val="008D0CBA"/>
    <w:rsid w:val="008E0F6B"/>
    <w:rsid w:val="008E1F59"/>
    <w:rsid w:val="008F0C6D"/>
    <w:rsid w:val="00900872"/>
    <w:rsid w:val="00906B7F"/>
    <w:rsid w:val="00915B5F"/>
    <w:rsid w:val="00921670"/>
    <w:rsid w:val="009266EB"/>
    <w:rsid w:val="009327E3"/>
    <w:rsid w:val="0095075A"/>
    <w:rsid w:val="00956AAA"/>
    <w:rsid w:val="00973707"/>
    <w:rsid w:val="009812EA"/>
    <w:rsid w:val="009930B9"/>
    <w:rsid w:val="009A557B"/>
    <w:rsid w:val="009B125F"/>
    <w:rsid w:val="009F1277"/>
    <w:rsid w:val="00A07A1A"/>
    <w:rsid w:val="00A21DAA"/>
    <w:rsid w:val="00A62535"/>
    <w:rsid w:val="00A65979"/>
    <w:rsid w:val="00A76893"/>
    <w:rsid w:val="00A822DE"/>
    <w:rsid w:val="00A871F4"/>
    <w:rsid w:val="00AA7ECF"/>
    <w:rsid w:val="00AB5BFB"/>
    <w:rsid w:val="00AD44E7"/>
    <w:rsid w:val="00AF08A7"/>
    <w:rsid w:val="00B04BA9"/>
    <w:rsid w:val="00B1674E"/>
    <w:rsid w:val="00B23B8F"/>
    <w:rsid w:val="00B256B7"/>
    <w:rsid w:val="00B40562"/>
    <w:rsid w:val="00B442A7"/>
    <w:rsid w:val="00B45E57"/>
    <w:rsid w:val="00B5270D"/>
    <w:rsid w:val="00B546EA"/>
    <w:rsid w:val="00B555E5"/>
    <w:rsid w:val="00B653AA"/>
    <w:rsid w:val="00B83A06"/>
    <w:rsid w:val="00B9440E"/>
    <w:rsid w:val="00BB1C15"/>
    <w:rsid w:val="00BC40EB"/>
    <w:rsid w:val="00BE7C70"/>
    <w:rsid w:val="00C00A5B"/>
    <w:rsid w:val="00C073FE"/>
    <w:rsid w:val="00C12600"/>
    <w:rsid w:val="00C27728"/>
    <w:rsid w:val="00C54E98"/>
    <w:rsid w:val="00C6196E"/>
    <w:rsid w:val="00C67F4A"/>
    <w:rsid w:val="00C7574A"/>
    <w:rsid w:val="00CA2418"/>
    <w:rsid w:val="00CA2E33"/>
    <w:rsid w:val="00CC4EC1"/>
    <w:rsid w:val="00CD1BD8"/>
    <w:rsid w:val="00CE38E4"/>
    <w:rsid w:val="00D11011"/>
    <w:rsid w:val="00D11012"/>
    <w:rsid w:val="00D130DC"/>
    <w:rsid w:val="00D21B62"/>
    <w:rsid w:val="00D221C7"/>
    <w:rsid w:val="00D27DD7"/>
    <w:rsid w:val="00D317AC"/>
    <w:rsid w:val="00D33FDB"/>
    <w:rsid w:val="00D343F6"/>
    <w:rsid w:val="00D368E7"/>
    <w:rsid w:val="00D425E3"/>
    <w:rsid w:val="00D44963"/>
    <w:rsid w:val="00D46B0B"/>
    <w:rsid w:val="00D63706"/>
    <w:rsid w:val="00D638A0"/>
    <w:rsid w:val="00D644D2"/>
    <w:rsid w:val="00D64B2E"/>
    <w:rsid w:val="00D774BD"/>
    <w:rsid w:val="00D835FD"/>
    <w:rsid w:val="00D96E18"/>
    <w:rsid w:val="00DA0FE1"/>
    <w:rsid w:val="00DA5809"/>
    <w:rsid w:val="00DC0DC3"/>
    <w:rsid w:val="00DC75EE"/>
    <w:rsid w:val="00DF1B0D"/>
    <w:rsid w:val="00DF3835"/>
    <w:rsid w:val="00E00139"/>
    <w:rsid w:val="00E16981"/>
    <w:rsid w:val="00E25277"/>
    <w:rsid w:val="00E34843"/>
    <w:rsid w:val="00E41CC7"/>
    <w:rsid w:val="00E4773B"/>
    <w:rsid w:val="00E65553"/>
    <w:rsid w:val="00E71472"/>
    <w:rsid w:val="00E75F83"/>
    <w:rsid w:val="00E864F4"/>
    <w:rsid w:val="00E86A07"/>
    <w:rsid w:val="00E927E3"/>
    <w:rsid w:val="00EB0F8C"/>
    <w:rsid w:val="00EC1DBA"/>
    <w:rsid w:val="00EC7EC8"/>
    <w:rsid w:val="00ED5F49"/>
    <w:rsid w:val="00EE0B7A"/>
    <w:rsid w:val="00F07527"/>
    <w:rsid w:val="00F27262"/>
    <w:rsid w:val="00F30ECF"/>
    <w:rsid w:val="00F443B6"/>
    <w:rsid w:val="00F86B72"/>
    <w:rsid w:val="00FA0FD8"/>
    <w:rsid w:val="00FA3AD9"/>
    <w:rsid w:val="00FD54A0"/>
    <w:rsid w:val="00FE1005"/>
    <w:rsid w:val="00FF4D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 w:type="character" w:styleId="Platzhaltertext">
    <w:name w:val="Placeholder Text"/>
    <w:basedOn w:val="Absatz-Standardschriftart"/>
    <w:uiPriority w:val="99"/>
    <w:semiHidden/>
    <w:rsid w:val="00D425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15433</Words>
  <Characters>97228</Characters>
  <Application>Microsoft Office Word</Application>
  <DocSecurity>0</DocSecurity>
  <Lines>810</Lines>
  <Paragraphs>224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439</cp:revision>
  <cp:lastPrinted>2026-02-24T15:11:00Z</cp:lastPrinted>
  <dcterms:created xsi:type="dcterms:W3CDTF">2025-06-25T06:05:00Z</dcterms:created>
  <dcterms:modified xsi:type="dcterms:W3CDTF">2026-02-24T15:12:00Z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id="jKZdHGKN"/&gt;&lt;style id="http://www.zotero.org/styles/ieee" locale="de-DE" hasBibliography="1" bibliographyStyleHasBeenSet="1"/&gt;&lt;prefs&gt;&lt;pref name="fieldType" value="Field"/&gt;&lt;/prefs&gt;&lt;/data&gt;</vt:lpwstr>
  </property>
</Properties>
</file>