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6595D1" w14:textId="77777777" w:rsidR="00040FB0" w:rsidRPr="00040FB0" w:rsidRDefault="00040FB0" w:rsidP="00040FB0">
      <w:pPr>
        <w:rPr>
          <w:rFonts w:cs="Arial"/>
        </w:rPr>
      </w:pPr>
      <w:r w:rsidRPr="00040FB0">
        <w:rPr>
          <w:rFonts w:cs="Arial"/>
        </w:rPr>
        <w:t>4.5 Batterietechnologien im Vergleich</w:t>
      </w:r>
    </w:p>
    <w:p w14:paraId="1A31651E" w14:textId="77777777" w:rsidR="00040FB0" w:rsidRPr="00040FB0" w:rsidRDefault="00040FB0" w:rsidP="00040FB0">
      <w:pPr>
        <w:rPr>
          <w:rFonts w:cs="Arial"/>
        </w:rPr>
      </w:pPr>
      <w:r w:rsidRPr="00040FB0">
        <w:rPr>
          <w:rFonts w:cs="Arial"/>
        </w:rPr>
        <w:t xml:space="preserve">Die Auswahl der geeigneten Batterietechnologie hängt von verschiedenen Faktoren ab, darunter Anschaffungskosten, Lebensdauer, Gewicht, Betriebstemperaturbereich und nutzbare Kapazität. Für stationäre Anwendungen wie Gewächshäuser sind insbesondere </w:t>
      </w:r>
      <w:proofErr w:type="spellStart"/>
      <w:r w:rsidRPr="00040FB0">
        <w:rPr>
          <w:rFonts w:cs="Arial"/>
        </w:rPr>
        <w:t>Zyklenfestigkeit</w:t>
      </w:r>
      <w:proofErr w:type="spellEnd"/>
      <w:r w:rsidRPr="00040FB0">
        <w:rPr>
          <w:rFonts w:cs="Arial"/>
        </w:rPr>
        <w:t>, Wartungsfreiheit und Wirtschaftlichkeit über die Lebensdauer entscheidende Kriterien. Im Folgenden werden die gängigen Batterietechnologien AGM, Gel, Lithium-Ionen und LiFePO4 hinsichtlich ihrer technischen Eigenschaften und Eignung für Energiespeichersysteme verglichen.</w:t>
      </w:r>
    </w:p>
    <w:p w14:paraId="740102D7" w14:textId="77777777" w:rsidR="00040FB0" w:rsidRPr="00040FB0" w:rsidRDefault="00040FB0" w:rsidP="00040FB0">
      <w:pPr>
        <w:rPr>
          <w:rFonts w:cs="Arial"/>
        </w:rPr>
      </w:pPr>
      <w:r w:rsidRPr="00040FB0">
        <w:rPr>
          <w:rFonts w:cs="Arial"/>
        </w:rPr>
        <w:t>4.5.1 Technische Eigenschaften der Batterietechnologien</w:t>
      </w:r>
    </w:p>
    <w:p w14:paraId="65D6F53A" w14:textId="77777777" w:rsidR="00040FB0" w:rsidRPr="00040FB0" w:rsidRDefault="00040FB0" w:rsidP="00040FB0">
      <w:pPr>
        <w:rPr>
          <w:rFonts w:cs="Arial"/>
        </w:rPr>
      </w:pPr>
      <w:r w:rsidRPr="00040FB0">
        <w:rPr>
          <w:rFonts w:cs="Arial"/>
        </w:rPr>
        <w:t>AGM (</w:t>
      </w:r>
      <w:proofErr w:type="spellStart"/>
      <w:r w:rsidRPr="00040FB0">
        <w:rPr>
          <w:rFonts w:cs="Arial"/>
        </w:rPr>
        <w:t>Absorbent</w:t>
      </w:r>
      <w:proofErr w:type="spellEnd"/>
      <w:r w:rsidRPr="00040FB0">
        <w:rPr>
          <w:rFonts w:cs="Arial"/>
        </w:rPr>
        <w:t xml:space="preserve"> Glass Mat): Bei AGM-Batterien ist der Elektrolyt in einem Glasfaservlies gebunden, wodurch sie wartungsfrei, auslaufsicher und lageunabhängig betrieben werden können [7]. Sie verfügen über einen niedrigen Innenwiderstand und sind für leistungsstarke Verbraucher geeignet. Die </w:t>
      </w:r>
      <w:proofErr w:type="spellStart"/>
      <w:r w:rsidRPr="00040FB0">
        <w:rPr>
          <w:rFonts w:cs="Arial"/>
        </w:rPr>
        <w:t>Zyklenfestigkeit</w:t>
      </w:r>
      <w:proofErr w:type="spellEnd"/>
      <w:r w:rsidRPr="00040FB0">
        <w:rPr>
          <w:rFonts w:cs="Arial"/>
        </w:rPr>
        <w:t xml:space="preserve"> liegt bei 500–600 Zyklen, die nutzbare Kapazität beträgt etwa 55 % der Nennkapazität [7]. AGM-Batterien arbeiten zuverlässig im Temperaturbereich von -20 bis +40 °C [7]. Das Gewicht beträgt 25–35 kg </w:t>
      </w:r>
      <w:proofErr w:type="gramStart"/>
      <w:r w:rsidRPr="00040FB0">
        <w:rPr>
          <w:rFonts w:cs="Arial"/>
        </w:rPr>
        <w:t>pro nutzbarer Kilowattstunde</w:t>
      </w:r>
      <w:proofErr w:type="gramEnd"/>
      <w:r w:rsidRPr="00040FB0">
        <w:rPr>
          <w:rFonts w:cs="Arial"/>
        </w:rPr>
        <w:t xml:space="preserve"> [8]. AGM Super Cycle Varianten erreichen durch spezielle Bleilegierungen mindestens 300 Zyklen bei 100 % Entladetiefe und mindestens 700 Zyklen bei 60 % Entladetiefe [2].</w:t>
      </w:r>
    </w:p>
    <w:p w14:paraId="028AAD7B" w14:textId="77777777" w:rsidR="00040FB0" w:rsidRPr="00040FB0" w:rsidRDefault="00040FB0" w:rsidP="00040FB0">
      <w:pPr>
        <w:rPr>
          <w:rFonts w:cs="Arial"/>
        </w:rPr>
      </w:pPr>
      <w:r w:rsidRPr="00040FB0">
        <w:rPr>
          <w:rFonts w:cs="Arial"/>
        </w:rPr>
        <w:t>Gel-Batterien: Bei Gel-Batterien ist der Elektrolyt durch Zugabe von Kieselerde gelartig verdickt [7]. Sie bieten eine höhere Tiefentladefestigkeit als AGM-Batterien und erreichen 700–800 Zyklen bei 65 % nutzbarer Kapazität [7]. Gel-Batterien eignen sich besonders für moderate, kontinuierliche Lasten über längere Zeiträume und zeichnen sich durch geringe Selbstentladung aus [7]. Der Betriebstemperaturbereich liegt ebenfalls bei -20 bis +40 °C [7]. Sie sind empfindlicher gegenüber hohen Ladeströmen und erfordern präzise Ladespannungen, um irreversible Schädigungen zu vermeiden.</w:t>
      </w:r>
    </w:p>
    <w:p w14:paraId="1D2E0161" w14:textId="77777777" w:rsidR="00040FB0" w:rsidRPr="00040FB0" w:rsidRDefault="00040FB0" w:rsidP="00040FB0">
      <w:pPr>
        <w:rPr>
          <w:rFonts w:cs="Arial"/>
        </w:rPr>
      </w:pPr>
      <w:r w:rsidRPr="00040FB0">
        <w:rPr>
          <w:rFonts w:cs="Arial"/>
        </w:rPr>
        <w:t xml:space="preserve">Lithium-Ionen: Lithium-Ionen-Batterien bieten eine hohe Energiedichte und erreichen deutlich mehr Ladezyklen als Blei-Batterien. Sie sind jedoch empfindlich gegenüber Tiefentladung und Überladung, weshalb ein </w:t>
      </w:r>
      <w:proofErr w:type="spellStart"/>
      <w:r w:rsidRPr="00040FB0">
        <w:rPr>
          <w:rFonts w:cs="Arial"/>
        </w:rPr>
        <w:t>Battery</w:t>
      </w:r>
      <w:proofErr w:type="spellEnd"/>
      <w:r w:rsidRPr="00040FB0">
        <w:rPr>
          <w:rFonts w:cs="Arial"/>
        </w:rPr>
        <w:t xml:space="preserve"> Management System (BMS) zwingend erforderlich ist. Verschiedene chemische Zusammensetzungen innerhalb der Lithium-Technologie führen zu unterschiedlichen Sicherheitseigenschaften. Die hier betrachtete LiFePO4-Technologie ist eine spezielle Variante mit erhöhter Sicherheit.</w:t>
      </w:r>
    </w:p>
    <w:p w14:paraId="08F7BAD7" w14:textId="77777777" w:rsidR="00040FB0" w:rsidRPr="00040FB0" w:rsidRDefault="00040FB0" w:rsidP="00040FB0">
      <w:pPr>
        <w:rPr>
          <w:rFonts w:cs="Arial"/>
        </w:rPr>
      </w:pPr>
      <w:r w:rsidRPr="00040FB0">
        <w:rPr>
          <w:rFonts w:cs="Arial"/>
        </w:rPr>
        <w:t xml:space="preserve">LiFePO4 (Lithium-Eisenphosphat): LiFePO4-Batterien sind eine spezielle Form der Lithium-Technologie mit erhöhter thermischer Stabilität und Sicherheit. Im Gegensatz zu anderen Lithium-Batterien können LiFePO4-Zellen weder brennen noch explodieren [7]. Sie erreichen mindestens 4000 Zyklen bei 80 % Entladetiefe und bieten eine nahezu 100%ige nutzbare Kapazität [7][8]. Das Gewicht liegt bei 8–10 kg </w:t>
      </w:r>
      <w:proofErr w:type="gramStart"/>
      <w:r w:rsidRPr="00040FB0">
        <w:rPr>
          <w:rFonts w:cs="Arial"/>
        </w:rPr>
        <w:t>pro nutzbarer Kilowattstunde</w:t>
      </w:r>
      <w:proofErr w:type="gramEnd"/>
      <w:r w:rsidRPr="00040FB0">
        <w:rPr>
          <w:rFonts w:cs="Arial"/>
        </w:rPr>
        <w:t xml:space="preserve"> und damit bei etwa 30 % des Gewichts von Blei-Batterien [7][8]. Der Betriebstemperaturbereich reicht von -20 bis +60 °C [7]. Ein integriertes BMS überwacht Ladung, Entladung und Sicherheitsfunktionen [7]. Die Lebensdauer liegt deutlich über 10 Jahren [8].</w:t>
      </w:r>
    </w:p>
    <w:p w14:paraId="22C770FF" w14:textId="77777777" w:rsidR="00040FB0" w:rsidRPr="00040FB0" w:rsidRDefault="00040FB0" w:rsidP="00040FB0">
      <w:pPr>
        <w:rPr>
          <w:rFonts w:cs="Arial"/>
        </w:rPr>
      </w:pPr>
      <w:r w:rsidRPr="00040FB0">
        <w:rPr>
          <w:rFonts w:cs="Arial"/>
        </w:rPr>
        <w:t>4.5.2 Vergleich und Auswahlbegründung</w:t>
      </w:r>
    </w:p>
    <w:p w14:paraId="5846A487" w14:textId="77777777" w:rsidR="00040FB0" w:rsidRPr="00040FB0" w:rsidRDefault="00040FB0" w:rsidP="00040FB0">
      <w:pPr>
        <w:rPr>
          <w:rFonts w:cs="Arial"/>
        </w:rPr>
      </w:pPr>
      <w:r w:rsidRPr="00040FB0">
        <w:rPr>
          <w:rFonts w:cs="Arial"/>
        </w:rPr>
        <w:t>Technischer Vergleich: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9"/>
        <w:gridCol w:w="1664"/>
        <w:gridCol w:w="1664"/>
        <w:gridCol w:w="2488"/>
      </w:tblGrid>
      <w:tr w:rsidR="00040FB0" w:rsidRPr="00040FB0" w14:paraId="5C2241D9" w14:textId="77777777">
        <w:trPr>
          <w:tblHeader/>
          <w:tblCellSpacing w:w="15" w:type="dxa"/>
        </w:trPr>
        <w:tc>
          <w:tcPr>
            <w:tcW w:w="0" w:type="auto"/>
            <w:vAlign w:val="center"/>
            <w:hideMark/>
          </w:tcPr>
          <w:p w14:paraId="2922AA3B" w14:textId="77777777" w:rsidR="00040FB0" w:rsidRPr="00040FB0" w:rsidRDefault="00040FB0" w:rsidP="00040FB0">
            <w:pPr>
              <w:rPr>
                <w:rFonts w:cs="Arial"/>
              </w:rPr>
            </w:pPr>
            <w:r w:rsidRPr="00040FB0">
              <w:rPr>
                <w:rFonts w:cs="Arial"/>
              </w:rPr>
              <w:lastRenderedPageBreak/>
              <w:t>Kriterium</w:t>
            </w:r>
          </w:p>
        </w:tc>
        <w:tc>
          <w:tcPr>
            <w:tcW w:w="0" w:type="auto"/>
            <w:vAlign w:val="center"/>
            <w:hideMark/>
          </w:tcPr>
          <w:p w14:paraId="31E97572" w14:textId="77777777" w:rsidR="00040FB0" w:rsidRPr="00040FB0" w:rsidRDefault="00040FB0" w:rsidP="00040FB0">
            <w:pPr>
              <w:rPr>
                <w:rFonts w:cs="Arial"/>
              </w:rPr>
            </w:pPr>
            <w:r w:rsidRPr="00040FB0">
              <w:rPr>
                <w:rFonts w:cs="Arial"/>
              </w:rPr>
              <w:t>AGM</w:t>
            </w:r>
          </w:p>
        </w:tc>
        <w:tc>
          <w:tcPr>
            <w:tcW w:w="0" w:type="auto"/>
            <w:vAlign w:val="center"/>
            <w:hideMark/>
          </w:tcPr>
          <w:p w14:paraId="644B7259" w14:textId="77777777" w:rsidR="00040FB0" w:rsidRPr="00040FB0" w:rsidRDefault="00040FB0" w:rsidP="00040FB0">
            <w:pPr>
              <w:rPr>
                <w:rFonts w:cs="Arial"/>
              </w:rPr>
            </w:pPr>
            <w:r w:rsidRPr="00040FB0">
              <w:rPr>
                <w:rFonts w:cs="Arial"/>
              </w:rPr>
              <w:t>Gel</w:t>
            </w:r>
          </w:p>
        </w:tc>
        <w:tc>
          <w:tcPr>
            <w:tcW w:w="0" w:type="auto"/>
            <w:vAlign w:val="center"/>
            <w:hideMark/>
          </w:tcPr>
          <w:p w14:paraId="3D6EBBAA" w14:textId="77777777" w:rsidR="00040FB0" w:rsidRPr="00040FB0" w:rsidRDefault="00040FB0" w:rsidP="00040FB0">
            <w:pPr>
              <w:rPr>
                <w:rFonts w:cs="Arial"/>
              </w:rPr>
            </w:pPr>
            <w:r w:rsidRPr="00040FB0">
              <w:rPr>
                <w:rFonts w:cs="Arial"/>
              </w:rPr>
              <w:t>LiFePO4</w:t>
            </w:r>
          </w:p>
        </w:tc>
      </w:tr>
      <w:tr w:rsidR="00040FB0" w:rsidRPr="00040FB0" w14:paraId="1AFB5B96" w14:textId="77777777">
        <w:trPr>
          <w:tblCellSpacing w:w="15" w:type="dxa"/>
        </w:trPr>
        <w:tc>
          <w:tcPr>
            <w:tcW w:w="0" w:type="auto"/>
            <w:vAlign w:val="center"/>
            <w:hideMark/>
          </w:tcPr>
          <w:p w14:paraId="2944FA8D" w14:textId="77777777" w:rsidR="00040FB0" w:rsidRPr="00040FB0" w:rsidRDefault="00040FB0" w:rsidP="00040FB0">
            <w:pPr>
              <w:rPr>
                <w:rFonts w:cs="Arial"/>
              </w:rPr>
            </w:pPr>
            <w:r w:rsidRPr="00040FB0">
              <w:rPr>
                <w:rFonts w:cs="Arial"/>
              </w:rPr>
              <w:t>Nutzbare Kapazität</w:t>
            </w:r>
          </w:p>
        </w:tc>
        <w:tc>
          <w:tcPr>
            <w:tcW w:w="0" w:type="auto"/>
            <w:vAlign w:val="center"/>
            <w:hideMark/>
          </w:tcPr>
          <w:p w14:paraId="564CA918" w14:textId="77777777" w:rsidR="00040FB0" w:rsidRPr="00040FB0" w:rsidRDefault="00040FB0" w:rsidP="00040FB0">
            <w:pPr>
              <w:rPr>
                <w:rFonts w:cs="Arial"/>
              </w:rPr>
            </w:pPr>
            <w:r w:rsidRPr="00040FB0">
              <w:rPr>
                <w:rFonts w:cs="Arial"/>
              </w:rPr>
              <w:t>55 % [7]</w:t>
            </w:r>
          </w:p>
        </w:tc>
        <w:tc>
          <w:tcPr>
            <w:tcW w:w="0" w:type="auto"/>
            <w:vAlign w:val="center"/>
            <w:hideMark/>
          </w:tcPr>
          <w:p w14:paraId="55FFEE8F" w14:textId="77777777" w:rsidR="00040FB0" w:rsidRPr="00040FB0" w:rsidRDefault="00040FB0" w:rsidP="00040FB0">
            <w:pPr>
              <w:rPr>
                <w:rFonts w:cs="Arial"/>
              </w:rPr>
            </w:pPr>
            <w:r w:rsidRPr="00040FB0">
              <w:rPr>
                <w:rFonts w:cs="Arial"/>
              </w:rPr>
              <w:t>65 % [7]</w:t>
            </w:r>
          </w:p>
        </w:tc>
        <w:tc>
          <w:tcPr>
            <w:tcW w:w="0" w:type="auto"/>
            <w:vAlign w:val="center"/>
            <w:hideMark/>
          </w:tcPr>
          <w:p w14:paraId="566FD2EB" w14:textId="77777777" w:rsidR="00040FB0" w:rsidRPr="00040FB0" w:rsidRDefault="00040FB0" w:rsidP="00040FB0">
            <w:pPr>
              <w:rPr>
                <w:rFonts w:cs="Arial"/>
              </w:rPr>
            </w:pPr>
            <w:r w:rsidRPr="00040FB0">
              <w:rPr>
                <w:rFonts w:cs="Arial"/>
              </w:rPr>
              <w:t>100 % [7]</w:t>
            </w:r>
          </w:p>
        </w:tc>
      </w:tr>
      <w:tr w:rsidR="00040FB0" w:rsidRPr="00040FB0" w14:paraId="0DBE5C89" w14:textId="77777777">
        <w:trPr>
          <w:tblCellSpacing w:w="15" w:type="dxa"/>
        </w:trPr>
        <w:tc>
          <w:tcPr>
            <w:tcW w:w="0" w:type="auto"/>
            <w:vAlign w:val="center"/>
            <w:hideMark/>
          </w:tcPr>
          <w:p w14:paraId="37F557A5" w14:textId="77777777" w:rsidR="00040FB0" w:rsidRPr="00040FB0" w:rsidRDefault="00040FB0" w:rsidP="00040FB0">
            <w:pPr>
              <w:rPr>
                <w:rFonts w:cs="Arial"/>
              </w:rPr>
            </w:pPr>
            <w:r w:rsidRPr="00040FB0">
              <w:rPr>
                <w:rFonts w:cs="Arial"/>
              </w:rPr>
              <w:t>Zyklenzahl</w:t>
            </w:r>
          </w:p>
        </w:tc>
        <w:tc>
          <w:tcPr>
            <w:tcW w:w="0" w:type="auto"/>
            <w:vAlign w:val="center"/>
            <w:hideMark/>
          </w:tcPr>
          <w:p w14:paraId="5A3019B9" w14:textId="77777777" w:rsidR="00040FB0" w:rsidRPr="00040FB0" w:rsidRDefault="00040FB0" w:rsidP="00040FB0">
            <w:pPr>
              <w:rPr>
                <w:rFonts w:cs="Arial"/>
              </w:rPr>
            </w:pPr>
            <w:r w:rsidRPr="00040FB0">
              <w:rPr>
                <w:rFonts w:cs="Arial"/>
              </w:rPr>
              <w:t>500–600 [7]</w:t>
            </w:r>
          </w:p>
        </w:tc>
        <w:tc>
          <w:tcPr>
            <w:tcW w:w="0" w:type="auto"/>
            <w:vAlign w:val="center"/>
            <w:hideMark/>
          </w:tcPr>
          <w:p w14:paraId="0257C4AC" w14:textId="77777777" w:rsidR="00040FB0" w:rsidRPr="00040FB0" w:rsidRDefault="00040FB0" w:rsidP="00040FB0">
            <w:pPr>
              <w:rPr>
                <w:rFonts w:cs="Arial"/>
              </w:rPr>
            </w:pPr>
            <w:r w:rsidRPr="00040FB0">
              <w:rPr>
                <w:rFonts w:cs="Arial"/>
              </w:rPr>
              <w:t>700–800 [7]</w:t>
            </w:r>
          </w:p>
        </w:tc>
        <w:tc>
          <w:tcPr>
            <w:tcW w:w="0" w:type="auto"/>
            <w:vAlign w:val="center"/>
            <w:hideMark/>
          </w:tcPr>
          <w:p w14:paraId="7C20B4A0" w14:textId="77777777" w:rsidR="00040FB0" w:rsidRPr="00040FB0" w:rsidRDefault="00040FB0" w:rsidP="00040FB0">
            <w:pPr>
              <w:rPr>
                <w:rFonts w:cs="Arial"/>
              </w:rPr>
            </w:pPr>
            <w:r w:rsidRPr="00040FB0">
              <w:rPr>
                <w:rFonts w:cs="Arial"/>
              </w:rPr>
              <w:t xml:space="preserve">mind. 4000 (80% </w:t>
            </w:r>
            <w:proofErr w:type="spellStart"/>
            <w:r w:rsidRPr="00040FB0">
              <w:rPr>
                <w:rFonts w:cs="Arial"/>
              </w:rPr>
              <w:t>DoD</w:t>
            </w:r>
            <w:proofErr w:type="spellEnd"/>
            <w:r w:rsidRPr="00040FB0">
              <w:rPr>
                <w:rFonts w:cs="Arial"/>
              </w:rPr>
              <w:t>) [7]</w:t>
            </w:r>
          </w:p>
        </w:tc>
      </w:tr>
      <w:tr w:rsidR="00040FB0" w:rsidRPr="00040FB0" w14:paraId="7E42F972" w14:textId="77777777">
        <w:trPr>
          <w:tblCellSpacing w:w="15" w:type="dxa"/>
        </w:trPr>
        <w:tc>
          <w:tcPr>
            <w:tcW w:w="0" w:type="auto"/>
            <w:vAlign w:val="center"/>
            <w:hideMark/>
          </w:tcPr>
          <w:p w14:paraId="5AF0A84B" w14:textId="77777777" w:rsidR="00040FB0" w:rsidRPr="00040FB0" w:rsidRDefault="00040FB0" w:rsidP="00040FB0">
            <w:pPr>
              <w:rPr>
                <w:rFonts w:cs="Arial"/>
              </w:rPr>
            </w:pPr>
            <w:r w:rsidRPr="00040FB0">
              <w:rPr>
                <w:rFonts w:cs="Arial"/>
              </w:rPr>
              <w:t>Gewicht (kg/kWh)</w:t>
            </w:r>
          </w:p>
        </w:tc>
        <w:tc>
          <w:tcPr>
            <w:tcW w:w="0" w:type="auto"/>
            <w:vAlign w:val="center"/>
            <w:hideMark/>
          </w:tcPr>
          <w:p w14:paraId="5D752BBF" w14:textId="77777777" w:rsidR="00040FB0" w:rsidRPr="00040FB0" w:rsidRDefault="00040FB0" w:rsidP="00040FB0">
            <w:pPr>
              <w:rPr>
                <w:rFonts w:cs="Arial"/>
              </w:rPr>
            </w:pPr>
            <w:r w:rsidRPr="00040FB0">
              <w:rPr>
                <w:rFonts w:cs="Arial"/>
              </w:rPr>
              <w:t>25–35 [8]</w:t>
            </w:r>
          </w:p>
        </w:tc>
        <w:tc>
          <w:tcPr>
            <w:tcW w:w="0" w:type="auto"/>
            <w:vAlign w:val="center"/>
            <w:hideMark/>
          </w:tcPr>
          <w:p w14:paraId="731C2ACE" w14:textId="77777777" w:rsidR="00040FB0" w:rsidRPr="00040FB0" w:rsidRDefault="00040FB0" w:rsidP="00040FB0">
            <w:pPr>
              <w:rPr>
                <w:rFonts w:cs="Arial"/>
              </w:rPr>
            </w:pPr>
            <w:r w:rsidRPr="00040FB0">
              <w:rPr>
                <w:rFonts w:cs="Arial"/>
              </w:rPr>
              <w:t>25–35</w:t>
            </w:r>
          </w:p>
        </w:tc>
        <w:tc>
          <w:tcPr>
            <w:tcW w:w="0" w:type="auto"/>
            <w:vAlign w:val="center"/>
            <w:hideMark/>
          </w:tcPr>
          <w:p w14:paraId="1AA31AAC" w14:textId="77777777" w:rsidR="00040FB0" w:rsidRPr="00040FB0" w:rsidRDefault="00040FB0" w:rsidP="00040FB0">
            <w:pPr>
              <w:rPr>
                <w:rFonts w:cs="Arial"/>
              </w:rPr>
            </w:pPr>
            <w:r w:rsidRPr="00040FB0">
              <w:rPr>
                <w:rFonts w:cs="Arial"/>
              </w:rPr>
              <w:t>8–10 [7][8]</w:t>
            </w:r>
          </w:p>
        </w:tc>
      </w:tr>
      <w:tr w:rsidR="00040FB0" w:rsidRPr="00040FB0" w14:paraId="2C4CBB63" w14:textId="77777777">
        <w:trPr>
          <w:tblCellSpacing w:w="15" w:type="dxa"/>
        </w:trPr>
        <w:tc>
          <w:tcPr>
            <w:tcW w:w="0" w:type="auto"/>
            <w:vAlign w:val="center"/>
            <w:hideMark/>
          </w:tcPr>
          <w:p w14:paraId="6A6876C2" w14:textId="77777777" w:rsidR="00040FB0" w:rsidRPr="00040FB0" w:rsidRDefault="00040FB0" w:rsidP="00040FB0">
            <w:pPr>
              <w:rPr>
                <w:rFonts w:cs="Arial"/>
              </w:rPr>
            </w:pPr>
            <w:r w:rsidRPr="00040FB0">
              <w:rPr>
                <w:rFonts w:cs="Arial"/>
              </w:rPr>
              <w:t>Temperaturbereich</w:t>
            </w:r>
          </w:p>
        </w:tc>
        <w:tc>
          <w:tcPr>
            <w:tcW w:w="0" w:type="auto"/>
            <w:vAlign w:val="center"/>
            <w:hideMark/>
          </w:tcPr>
          <w:p w14:paraId="44A0E37E" w14:textId="77777777" w:rsidR="00040FB0" w:rsidRPr="00040FB0" w:rsidRDefault="00040FB0" w:rsidP="00040FB0">
            <w:pPr>
              <w:rPr>
                <w:rFonts w:cs="Arial"/>
              </w:rPr>
            </w:pPr>
            <w:r w:rsidRPr="00040FB0">
              <w:rPr>
                <w:rFonts w:cs="Arial"/>
              </w:rPr>
              <w:t>-20 bis +40 °C [7]</w:t>
            </w:r>
          </w:p>
        </w:tc>
        <w:tc>
          <w:tcPr>
            <w:tcW w:w="0" w:type="auto"/>
            <w:vAlign w:val="center"/>
            <w:hideMark/>
          </w:tcPr>
          <w:p w14:paraId="6B442BA4" w14:textId="77777777" w:rsidR="00040FB0" w:rsidRPr="00040FB0" w:rsidRDefault="00040FB0" w:rsidP="00040FB0">
            <w:pPr>
              <w:rPr>
                <w:rFonts w:cs="Arial"/>
              </w:rPr>
            </w:pPr>
            <w:r w:rsidRPr="00040FB0">
              <w:rPr>
                <w:rFonts w:cs="Arial"/>
              </w:rPr>
              <w:t>-20 bis +40 °C [7]</w:t>
            </w:r>
          </w:p>
        </w:tc>
        <w:tc>
          <w:tcPr>
            <w:tcW w:w="0" w:type="auto"/>
            <w:vAlign w:val="center"/>
            <w:hideMark/>
          </w:tcPr>
          <w:p w14:paraId="314B2EBC" w14:textId="77777777" w:rsidR="00040FB0" w:rsidRPr="00040FB0" w:rsidRDefault="00040FB0" w:rsidP="00040FB0">
            <w:pPr>
              <w:rPr>
                <w:rFonts w:cs="Arial"/>
              </w:rPr>
            </w:pPr>
            <w:r w:rsidRPr="00040FB0">
              <w:rPr>
                <w:rFonts w:cs="Arial"/>
              </w:rPr>
              <w:t>-20 bis +60 °C [7]</w:t>
            </w:r>
          </w:p>
        </w:tc>
      </w:tr>
      <w:tr w:rsidR="00040FB0" w:rsidRPr="00040FB0" w14:paraId="295B3858" w14:textId="77777777">
        <w:trPr>
          <w:tblCellSpacing w:w="15" w:type="dxa"/>
        </w:trPr>
        <w:tc>
          <w:tcPr>
            <w:tcW w:w="0" w:type="auto"/>
            <w:vAlign w:val="center"/>
            <w:hideMark/>
          </w:tcPr>
          <w:p w14:paraId="16BD9DAF" w14:textId="77777777" w:rsidR="00040FB0" w:rsidRPr="00040FB0" w:rsidRDefault="00040FB0" w:rsidP="00040FB0">
            <w:pPr>
              <w:rPr>
                <w:rFonts w:cs="Arial"/>
              </w:rPr>
            </w:pPr>
            <w:r w:rsidRPr="00040FB0">
              <w:rPr>
                <w:rFonts w:cs="Arial"/>
              </w:rPr>
              <w:t>BMS erforderlich</w:t>
            </w:r>
          </w:p>
        </w:tc>
        <w:tc>
          <w:tcPr>
            <w:tcW w:w="0" w:type="auto"/>
            <w:vAlign w:val="center"/>
            <w:hideMark/>
          </w:tcPr>
          <w:p w14:paraId="0356F874" w14:textId="77777777" w:rsidR="00040FB0" w:rsidRPr="00040FB0" w:rsidRDefault="00040FB0" w:rsidP="00040FB0">
            <w:pPr>
              <w:rPr>
                <w:rFonts w:cs="Arial"/>
              </w:rPr>
            </w:pPr>
            <w:r w:rsidRPr="00040FB0">
              <w:rPr>
                <w:rFonts w:cs="Arial"/>
              </w:rPr>
              <w:t>Nein [7]</w:t>
            </w:r>
          </w:p>
        </w:tc>
        <w:tc>
          <w:tcPr>
            <w:tcW w:w="0" w:type="auto"/>
            <w:vAlign w:val="center"/>
            <w:hideMark/>
          </w:tcPr>
          <w:p w14:paraId="3A861E42" w14:textId="77777777" w:rsidR="00040FB0" w:rsidRPr="00040FB0" w:rsidRDefault="00040FB0" w:rsidP="00040FB0">
            <w:pPr>
              <w:rPr>
                <w:rFonts w:cs="Arial"/>
              </w:rPr>
            </w:pPr>
            <w:r w:rsidRPr="00040FB0">
              <w:rPr>
                <w:rFonts w:cs="Arial"/>
              </w:rPr>
              <w:t>Nein [7]</w:t>
            </w:r>
          </w:p>
        </w:tc>
        <w:tc>
          <w:tcPr>
            <w:tcW w:w="0" w:type="auto"/>
            <w:vAlign w:val="center"/>
            <w:hideMark/>
          </w:tcPr>
          <w:p w14:paraId="46439295" w14:textId="77777777" w:rsidR="00040FB0" w:rsidRPr="00040FB0" w:rsidRDefault="00040FB0" w:rsidP="00040FB0">
            <w:pPr>
              <w:rPr>
                <w:rFonts w:cs="Arial"/>
              </w:rPr>
            </w:pPr>
            <w:r w:rsidRPr="00040FB0">
              <w:rPr>
                <w:rFonts w:cs="Arial"/>
              </w:rPr>
              <w:t>Ja [7]</w:t>
            </w:r>
          </w:p>
        </w:tc>
      </w:tr>
      <w:tr w:rsidR="00040FB0" w:rsidRPr="00040FB0" w14:paraId="10783422" w14:textId="77777777">
        <w:trPr>
          <w:tblCellSpacing w:w="15" w:type="dxa"/>
        </w:trPr>
        <w:tc>
          <w:tcPr>
            <w:tcW w:w="0" w:type="auto"/>
            <w:vAlign w:val="center"/>
            <w:hideMark/>
          </w:tcPr>
          <w:p w14:paraId="2B8D561F" w14:textId="77777777" w:rsidR="00040FB0" w:rsidRPr="00040FB0" w:rsidRDefault="00040FB0" w:rsidP="00040FB0">
            <w:pPr>
              <w:rPr>
                <w:rFonts w:cs="Arial"/>
              </w:rPr>
            </w:pPr>
            <w:r w:rsidRPr="00040FB0">
              <w:rPr>
                <w:rFonts w:cs="Arial"/>
              </w:rPr>
              <w:t>Lebensdauer</w:t>
            </w:r>
          </w:p>
        </w:tc>
        <w:tc>
          <w:tcPr>
            <w:tcW w:w="0" w:type="auto"/>
            <w:vAlign w:val="center"/>
            <w:hideMark/>
          </w:tcPr>
          <w:p w14:paraId="682DA80B" w14:textId="77777777" w:rsidR="00040FB0" w:rsidRPr="00040FB0" w:rsidRDefault="00040FB0" w:rsidP="00040FB0">
            <w:pPr>
              <w:rPr>
                <w:rFonts w:cs="Arial"/>
              </w:rPr>
            </w:pPr>
            <w:r w:rsidRPr="00040FB0">
              <w:rPr>
                <w:rFonts w:cs="Arial"/>
              </w:rPr>
              <w:t>ca. 5 Jahre [8]</w:t>
            </w:r>
          </w:p>
        </w:tc>
        <w:tc>
          <w:tcPr>
            <w:tcW w:w="0" w:type="auto"/>
            <w:vAlign w:val="center"/>
            <w:hideMark/>
          </w:tcPr>
          <w:p w14:paraId="3A94A475" w14:textId="77777777" w:rsidR="00040FB0" w:rsidRPr="00040FB0" w:rsidRDefault="00040FB0" w:rsidP="00040FB0">
            <w:pPr>
              <w:rPr>
                <w:rFonts w:cs="Arial"/>
              </w:rPr>
            </w:pPr>
            <w:r w:rsidRPr="00040FB0">
              <w:rPr>
                <w:rFonts w:cs="Arial"/>
              </w:rPr>
              <w:t>ca. 5 Jahre</w:t>
            </w:r>
          </w:p>
        </w:tc>
        <w:tc>
          <w:tcPr>
            <w:tcW w:w="0" w:type="auto"/>
            <w:vAlign w:val="center"/>
            <w:hideMark/>
          </w:tcPr>
          <w:p w14:paraId="7375FD02" w14:textId="77777777" w:rsidR="00040FB0" w:rsidRPr="00040FB0" w:rsidRDefault="00040FB0" w:rsidP="00040FB0">
            <w:pPr>
              <w:rPr>
                <w:rFonts w:cs="Arial"/>
              </w:rPr>
            </w:pPr>
            <w:r w:rsidRPr="00040FB0">
              <w:rPr>
                <w:rFonts w:cs="Arial"/>
              </w:rPr>
              <w:t>über 10 Jahre [8]</w:t>
            </w:r>
          </w:p>
        </w:tc>
      </w:tr>
    </w:tbl>
    <w:p w14:paraId="5DA65424" w14:textId="77777777" w:rsidR="00040FB0" w:rsidRDefault="00040FB0" w:rsidP="00040FB0">
      <w:pPr>
        <w:rPr>
          <w:rFonts w:cs="Arial"/>
        </w:rPr>
      </w:pPr>
    </w:p>
    <w:p w14:paraId="6E74C04F" w14:textId="09CECD4A" w:rsidR="00040FB0" w:rsidRPr="00040FB0" w:rsidRDefault="00040FB0" w:rsidP="00040FB0">
      <w:pPr>
        <w:rPr>
          <w:rFonts w:cs="Arial"/>
        </w:rPr>
      </w:pPr>
      <w:r w:rsidRPr="00040FB0">
        <w:rPr>
          <w:rFonts w:cs="Arial"/>
        </w:rPr>
        <w:t xml:space="preserve">Wirtschaftliche Betrachtung: Die Anschaffungskosten für AGM-Batterien liegen bei etwa 120 € pro kWh nutzbarer Kapazität, während LiFePO4-Batterien ab 260 € pro kWh kosten [8]. Auf den ersten Blick erscheinen AGM-Batterien wirtschaftlicher. Bei Berücksichtigung der Lebensdauer und Zyklenzahl ergibt sich jedoch ein anderes Bild: Eine AGM-Batterie mit 500 Zyklen und 55 % nutzbarer Kapazität erreicht etwa 275 kWh Gesamtdurchsatz, während eine LiFePO4-Batterie mit 4000 Zyklen und 100 % nutzbarer Kapazität 4000 kWh erreicht. Die Kosten </w:t>
      </w:r>
      <w:proofErr w:type="gramStart"/>
      <w:r w:rsidRPr="00040FB0">
        <w:rPr>
          <w:rFonts w:cs="Arial"/>
        </w:rPr>
        <w:t>pro nutzbarer Kilowattstunde</w:t>
      </w:r>
      <w:proofErr w:type="gramEnd"/>
      <w:r w:rsidRPr="00040FB0">
        <w:rPr>
          <w:rFonts w:cs="Arial"/>
        </w:rPr>
        <w:t xml:space="preserve"> über die Lebensdauer liegen somit bei AGM-Batterien bei etwa 0,44 €/kWh und bei LiFePO4-Batterien bei etwa 0,07 €/kWh [8].</w:t>
      </w:r>
    </w:p>
    <w:p w14:paraId="10028D3D" w14:textId="77777777" w:rsidR="00040FB0" w:rsidRPr="00040FB0" w:rsidRDefault="00040FB0" w:rsidP="00040FB0">
      <w:pPr>
        <w:rPr>
          <w:rFonts w:cs="Arial"/>
        </w:rPr>
      </w:pPr>
      <w:r w:rsidRPr="00040FB0">
        <w:rPr>
          <w:rFonts w:cs="Arial"/>
        </w:rPr>
        <w:t xml:space="preserve">Auswahlbegründung für den Prototyp: Für den 0,7 m² Prototyp wurde die AGM Super Cycle Batterie 100 Ah gewählt. Diese Entscheidung basiert auf mehreren Faktoren: Das System dient primär als Demonstrationssystem im Rahmen der Diplomarbeit mit einer Projektlaufzeit von 1–2 Jahren. In diesem Zeitraum sind etwa 365–730 Zyklen zu erwarten, was innerhalb der </w:t>
      </w:r>
      <w:proofErr w:type="spellStart"/>
      <w:r w:rsidRPr="00040FB0">
        <w:rPr>
          <w:rFonts w:cs="Arial"/>
        </w:rPr>
        <w:t>Zyklenfestigkeit</w:t>
      </w:r>
      <w:proofErr w:type="spellEnd"/>
      <w:r w:rsidRPr="00040FB0">
        <w:rPr>
          <w:rFonts w:cs="Arial"/>
        </w:rPr>
        <w:t xml:space="preserve"> der AGM-Technologie liegt [2]. Die Anschaffungskosten sind deutlich geringer als bei LiFePO4-Batterien. Das höhere Gewicht von etwa 26 kg spielt bei einer stationären Installation im Schaltschrank keine Rolle [2]. AGM-Batterien benötigen kein externes BMS, was die Systemkomplexität reduziert und die Integration mit den </w:t>
      </w:r>
      <w:proofErr w:type="spellStart"/>
      <w:r w:rsidRPr="00040FB0">
        <w:rPr>
          <w:rFonts w:cs="Arial"/>
        </w:rPr>
        <w:t>Victron</w:t>
      </w:r>
      <w:proofErr w:type="spellEnd"/>
      <w:r w:rsidRPr="00040FB0">
        <w:rPr>
          <w:rFonts w:cs="Arial"/>
        </w:rPr>
        <w:t xml:space="preserve">-Komponenten vereinfacht. Die </w:t>
      </w:r>
      <w:proofErr w:type="spellStart"/>
      <w:r w:rsidRPr="00040FB0">
        <w:rPr>
          <w:rFonts w:cs="Arial"/>
        </w:rPr>
        <w:t>Victron</w:t>
      </w:r>
      <w:proofErr w:type="spellEnd"/>
      <w:r w:rsidRPr="00040FB0">
        <w:rPr>
          <w:rFonts w:cs="Arial"/>
        </w:rPr>
        <w:t xml:space="preserve"> AGM Super Cycle Batterie verträgt gelegentliche Tiefentladungen besser als Standard-AGM-Batterien [2].</w:t>
      </w:r>
    </w:p>
    <w:p w14:paraId="4CF11E6C" w14:textId="77777777" w:rsidR="00040FB0" w:rsidRPr="00040FB0" w:rsidRDefault="00040FB0" w:rsidP="00040FB0">
      <w:pPr>
        <w:rPr>
          <w:rFonts w:cs="Arial"/>
        </w:rPr>
      </w:pPr>
      <w:r w:rsidRPr="00040FB0">
        <w:rPr>
          <w:rFonts w:cs="Arial"/>
        </w:rPr>
        <w:t xml:space="preserve">Für kommerzielle Anwendungen mit geplanter Betriebsdauer von über 10 Jahren und täglicher Nutzung wäre LiFePO4 aufgrund der deutlich höheren </w:t>
      </w:r>
      <w:proofErr w:type="spellStart"/>
      <w:r w:rsidRPr="00040FB0">
        <w:rPr>
          <w:rFonts w:cs="Arial"/>
        </w:rPr>
        <w:t>Zyklenfestigkeit</w:t>
      </w:r>
      <w:proofErr w:type="spellEnd"/>
      <w:r w:rsidRPr="00040FB0">
        <w:rPr>
          <w:rFonts w:cs="Arial"/>
        </w:rPr>
        <w:t>, nutzbaren Kapazität und längeren Lebensdauer wirtschaftlich sinnvoller. Die höheren Anschaffungskosten amortisieren sich durch die längere Nutzungsdauer und die geringeren Kosten pro Zyklus. Bei größeren Systemen kommt zusätzlich das geringere Gewicht als Vorteil zum Tragen, insbesondere wenn Dachlasten berücksichtigt werden müssen.</w:t>
      </w:r>
    </w:p>
    <w:p w14:paraId="5928F717" w14:textId="77777777" w:rsidR="00040FB0" w:rsidRPr="00040FB0" w:rsidRDefault="00040FB0" w:rsidP="00040FB0">
      <w:pPr>
        <w:rPr>
          <w:rFonts w:cs="Arial"/>
        </w:rPr>
      </w:pPr>
      <w:r w:rsidRPr="00040FB0">
        <w:rPr>
          <w:rFonts w:cs="Arial"/>
        </w:rPr>
        <w:pict w14:anchorId="10072D68">
          <v:rect id="_x0000_i1031" style="width:0;height:1.5pt" o:hralign="center" o:hrstd="t" o:hr="t" fillcolor="#a0a0a0" stroked="f"/>
        </w:pict>
      </w:r>
    </w:p>
    <w:p w14:paraId="139C0FBD" w14:textId="77777777" w:rsidR="00040FB0" w:rsidRPr="00040FB0" w:rsidRDefault="00040FB0" w:rsidP="00040FB0">
      <w:pPr>
        <w:rPr>
          <w:rFonts w:cs="Arial"/>
        </w:rPr>
      </w:pPr>
      <w:r w:rsidRPr="00040FB0">
        <w:rPr>
          <w:rFonts w:cs="Arial"/>
        </w:rPr>
        <w:t>Quellenverzeichnis</w:t>
      </w:r>
    </w:p>
    <w:p w14:paraId="65148C17" w14:textId="77777777" w:rsidR="00040FB0" w:rsidRPr="00040FB0" w:rsidRDefault="00040FB0" w:rsidP="00040FB0">
      <w:pPr>
        <w:rPr>
          <w:rFonts w:cs="Arial"/>
        </w:rPr>
      </w:pPr>
      <w:r w:rsidRPr="00040FB0">
        <w:rPr>
          <w:rFonts w:cs="Arial"/>
        </w:rPr>
        <w:t xml:space="preserve">[2] </w:t>
      </w:r>
      <w:proofErr w:type="spellStart"/>
      <w:r w:rsidRPr="00040FB0">
        <w:rPr>
          <w:rFonts w:cs="Arial"/>
        </w:rPr>
        <w:t>Victron</w:t>
      </w:r>
      <w:proofErr w:type="spellEnd"/>
      <w:r w:rsidRPr="00040FB0">
        <w:rPr>
          <w:rFonts w:cs="Arial"/>
        </w:rPr>
        <w:t xml:space="preserve"> Energy, „AGM Super Cycle Batterie 12 V 100 Ah – Datenblatt", </w:t>
      </w:r>
      <w:proofErr w:type="spellStart"/>
      <w:r w:rsidRPr="00040FB0">
        <w:rPr>
          <w:rFonts w:cs="Arial"/>
        </w:rPr>
        <w:t>Victron</w:t>
      </w:r>
      <w:proofErr w:type="spellEnd"/>
      <w:r w:rsidRPr="00040FB0">
        <w:rPr>
          <w:rFonts w:cs="Arial"/>
        </w:rPr>
        <w:t xml:space="preserve"> Energy B.V., Almere, 2025.</w:t>
      </w:r>
    </w:p>
    <w:p w14:paraId="604F44AA" w14:textId="77777777" w:rsidR="00040FB0" w:rsidRPr="00040FB0" w:rsidRDefault="00040FB0" w:rsidP="00040FB0">
      <w:pPr>
        <w:rPr>
          <w:rFonts w:cs="Arial"/>
        </w:rPr>
      </w:pPr>
      <w:r w:rsidRPr="00040FB0">
        <w:rPr>
          <w:rFonts w:cs="Arial"/>
        </w:rPr>
        <w:t xml:space="preserve">[7] ECTIVE GmbH, „Batterietechnologien – Welche passt zu dir?", 2024. [Online]. Verfügbar: </w:t>
      </w:r>
      <w:hyperlink r:id="rId4" w:history="1">
        <w:r w:rsidRPr="00040FB0">
          <w:rPr>
            <w:rStyle w:val="Hyperlink"/>
            <w:rFonts w:cs="Arial"/>
          </w:rPr>
          <w:t>https://www.ective.de/blogs/wissen/batterietechnologien</w:t>
        </w:r>
      </w:hyperlink>
    </w:p>
    <w:p w14:paraId="5C0A26B1" w14:textId="77777777" w:rsidR="00040FB0" w:rsidRPr="00040FB0" w:rsidRDefault="00040FB0" w:rsidP="00040FB0">
      <w:pPr>
        <w:rPr>
          <w:rFonts w:cs="Arial"/>
        </w:rPr>
      </w:pPr>
      <w:r w:rsidRPr="00040FB0">
        <w:rPr>
          <w:rFonts w:cs="Arial"/>
        </w:rPr>
        <w:lastRenderedPageBreak/>
        <w:t xml:space="preserve">[8] </w:t>
      </w:r>
      <w:proofErr w:type="spellStart"/>
      <w:r w:rsidRPr="00040FB0">
        <w:rPr>
          <w:rFonts w:cs="Arial"/>
        </w:rPr>
        <w:t>greenboatsolutions</w:t>
      </w:r>
      <w:proofErr w:type="spellEnd"/>
      <w:r w:rsidRPr="00040FB0">
        <w:rPr>
          <w:rFonts w:cs="Arial"/>
        </w:rPr>
        <w:t xml:space="preserve"> GmbH, „AGM vs. Lithium - Was ist besser?", 2024. [Online]. Verfügbar: </w:t>
      </w:r>
      <w:hyperlink r:id="rId5" w:history="1">
        <w:r w:rsidRPr="00040FB0">
          <w:rPr>
            <w:rStyle w:val="Hyperlink"/>
            <w:rFonts w:cs="Arial"/>
          </w:rPr>
          <w:t>https://www.greenboatsolutions.com/ratgeber/agm-vs-lithium</w:t>
        </w:r>
      </w:hyperlink>
    </w:p>
    <w:p w14:paraId="3A60D904" w14:textId="77777777" w:rsidR="00EA319E" w:rsidRPr="00040FB0" w:rsidRDefault="00EA319E" w:rsidP="00040FB0"/>
    <w:sectPr w:rsidR="00EA319E" w:rsidRPr="00040FB0">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E31"/>
    <w:rsid w:val="00040FB0"/>
    <w:rsid w:val="000C52CA"/>
    <w:rsid w:val="00444FFB"/>
    <w:rsid w:val="007E7E31"/>
    <w:rsid w:val="00872205"/>
    <w:rsid w:val="0098031F"/>
    <w:rsid w:val="00A33A49"/>
    <w:rsid w:val="00C27728"/>
    <w:rsid w:val="00D221C7"/>
    <w:rsid w:val="00D317AC"/>
    <w:rsid w:val="00EA319E"/>
    <w:rsid w:val="00F443B6"/>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9A2F23"/>
  <w15:chartTrackingRefBased/>
  <w15:docId w15:val="{B131BF62-9816-4315-8361-E0BC02B062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de-A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33A49"/>
  </w:style>
  <w:style w:type="paragraph" w:styleId="berschrift1">
    <w:name w:val="heading 1"/>
    <w:basedOn w:val="Standard"/>
    <w:next w:val="Standard"/>
    <w:link w:val="berschrift1Zchn"/>
    <w:uiPriority w:val="9"/>
    <w:qFormat/>
    <w:rsid w:val="007E7E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7E7E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7E7E3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7E7E3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7E7E3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7E7E3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7E7E3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7E7E3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7E7E3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7E7E3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7E7E3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7E7E3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7E7E3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7E7E3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7E7E3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7E7E3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7E7E3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7E7E31"/>
    <w:rPr>
      <w:rFonts w:eastAsiaTheme="majorEastAsia" w:cstheme="majorBidi"/>
      <w:color w:val="272727" w:themeColor="text1" w:themeTint="D8"/>
    </w:rPr>
  </w:style>
  <w:style w:type="paragraph" w:styleId="Titel">
    <w:name w:val="Title"/>
    <w:basedOn w:val="Standard"/>
    <w:next w:val="Standard"/>
    <w:link w:val="TitelZchn"/>
    <w:uiPriority w:val="10"/>
    <w:qFormat/>
    <w:rsid w:val="007E7E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7E7E3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7E7E3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7E7E3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7E7E3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7E7E31"/>
    <w:rPr>
      <w:i/>
      <w:iCs/>
      <w:color w:val="404040" w:themeColor="text1" w:themeTint="BF"/>
    </w:rPr>
  </w:style>
  <w:style w:type="paragraph" w:styleId="Listenabsatz">
    <w:name w:val="List Paragraph"/>
    <w:basedOn w:val="Standard"/>
    <w:uiPriority w:val="34"/>
    <w:qFormat/>
    <w:rsid w:val="007E7E31"/>
    <w:pPr>
      <w:ind w:left="720"/>
      <w:contextualSpacing/>
    </w:pPr>
  </w:style>
  <w:style w:type="character" w:styleId="IntensiveHervorhebung">
    <w:name w:val="Intense Emphasis"/>
    <w:basedOn w:val="Absatz-Standardschriftart"/>
    <w:uiPriority w:val="21"/>
    <w:qFormat/>
    <w:rsid w:val="007E7E31"/>
    <w:rPr>
      <w:i/>
      <w:iCs/>
      <w:color w:val="0F4761" w:themeColor="accent1" w:themeShade="BF"/>
    </w:rPr>
  </w:style>
  <w:style w:type="paragraph" w:styleId="IntensivesZitat">
    <w:name w:val="Intense Quote"/>
    <w:basedOn w:val="Standard"/>
    <w:next w:val="Standard"/>
    <w:link w:val="IntensivesZitatZchn"/>
    <w:uiPriority w:val="30"/>
    <w:qFormat/>
    <w:rsid w:val="007E7E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7E7E31"/>
    <w:rPr>
      <w:i/>
      <w:iCs/>
      <w:color w:val="0F4761" w:themeColor="accent1" w:themeShade="BF"/>
    </w:rPr>
  </w:style>
  <w:style w:type="character" w:styleId="IntensiverVerweis">
    <w:name w:val="Intense Reference"/>
    <w:basedOn w:val="Absatz-Standardschriftart"/>
    <w:uiPriority w:val="32"/>
    <w:qFormat/>
    <w:rsid w:val="007E7E31"/>
    <w:rPr>
      <w:b/>
      <w:bCs/>
      <w:smallCaps/>
      <w:color w:val="0F4761" w:themeColor="accent1" w:themeShade="BF"/>
      <w:spacing w:val="5"/>
    </w:rPr>
  </w:style>
  <w:style w:type="character" w:styleId="Hyperlink">
    <w:name w:val="Hyperlink"/>
    <w:basedOn w:val="Absatz-Standardschriftart"/>
    <w:uiPriority w:val="99"/>
    <w:unhideWhenUsed/>
    <w:rsid w:val="00040FB0"/>
    <w:rPr>
      <w:color w:val="467886" w:themeColor="hyperlink"/>
      <w:u w:val="single"/>
    </w:rPr>
  </w:style>
  <w:style w:type="character" w:styleId="NichtaufgelsteErwhnung">
    <w:name w:val="Unresolved Mention"/>
    <w:basedOn w:val="Absatz-Standardschriftart"/>
    <w:uiPriority w:val="99"/>
    <w:semiHidden/>
    <w:unhideWhenUsed/>
    <w:rsid w:val="00040FB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ww.greenboatsolutions.com/ratgeber/agm-vs-lithium" TargetMode="External"/><Relationship Id="rId4" Type="http://schemas.openxmlformats.org/officeDocument/2006/relationships/hyperlink" Target="https://www.ective.de/blogs/wissen/batterietechnologien"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837</Words>
  <Characters>5279</Characters>
  <Application>Microsoft Office Word</Application>
  <DocSecurity>0</DocSecurity>
  <Lines>43</Lines>
  <Paragraphs>12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BAUMANN Christian, SchülerIn</dc:creator>
  <cp:keywords/>
  <dc:description/>
  <cp:lastModifiedBy>BAUMANN Christian, SchülerIn</cp:lastModifiedBy>
  <cp:revision>5</cp:revision>
  <dcterms:created xsi:type="dcterms:W3CDTF">2025-12-17T09:04:00Z</dcterms:created>
  <dcterms:modified xsi:type="dcterms:W3CDTF">2026-02-17T23:07:00Z</dcterms:modified>
</cp:coreProperties>
</file>