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57727CFA" w14:textId="2B3208D1" w:rsidR="00900872"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739134" w:history="1">
            <w:r w:rsidR="00900872" w:rsidRPr="008315DC">
              <w:rPr>
                <w:rStyle w:val="Hyperlink"/>
                <w:noProof/>
              </w:rPr>
              <w:t>4.1 Zielsetzung und Abgrenzung</w:t>
            </w:r>
            <w:r w:rsidR="00900872">
              <w:rPr>
                <w:noProof/>
                <w:webHidden/>
              </w:rPr>
              <w:tab/>
            </w:r>
            <w:r w:rsidR="00900872">
              <w:rPr>
                <w:noProof/>
                <w:webHidden/>
              </w:rPr>
              <w:fldChar w:fldCharType="begin"/>
            </w:r>
            <w:r w:rsidR="00900872">
              <w:rPr>
                <w:noProof/>
                <w:webHidden/>
              </w:rPr>
              <w:instrText xml:space="preserve"> PAGEREF _Toc222739134 \h </w:instrText>
            </w:r>
            <w:r w:rsidR="00900872">
              <w:rPr>
                <w:noProof/>
                <w:webHidden/>
              </w:rPr>
            </w:r>
            <w:r w:rsidR="00900872">
              <w:rPr>
                <w:noProof/>
                <w:webHidden/>
              </w:rPr>
              <w:fldChar w:fldCharType="separate"/>
            </w:r>
            <w:r w:rsidR="00900872">
              <w:rPr>
                <w:noProof/>
                <w:webHidden/>
              </w:rPr>
              <w:t>2</w:t>
            </w:r>
            <w:r w:rsidR="00900872">
              <w:rPr>
                <w:noProof/>
                <w:webHidden/>
              </w:rPr>
              <w:fldChar w:fldCharType="end"/>
            </w:r>
          </w:hyperlink>
        </w:p>
        <w:p w14:paraId="5E3163ED" w14:textId="5B40D271" w:rsidR="00900872" w:rsidRDefault="00900872">
          <w:pPr>
            <w:pStyle w:val="Verzeichnis2"/>
            <w:tabs>
              <w:tab w:val="right" w:leader="dot" w:pos="9062"/>
            </w:tabs>
            <w:rPr>
              <w:rFonts w:eastAsiaTheme="minorEastAsia"/>
              <w:noProof/>
              <w:sz w:val="24"/>
              <w:szCs w:val="24"/>
              <w:lang w:eastAsia="de-AT"/>
            </w:rPr>
          </w:pPr>
          <w:hyperlink w:anchor="_Toc222739135" w:history="1">
            <w:r w:rsidRPr="008315DC">
              <w:rPr>
                <w:rStyle w:val="Hyperlink"/>
                <w:noProof/>
              </w:rPr>
              <w:t>4.1.1 Anforderungen an das Energiesystem</w:t>
            </w:r>
            <w:r>
              <w:rPr>
                <w:noProof/>
                <w:webHidden/>
              </w:rPr>
              <w:tab/>
            </w:r>
            <w:r>
              <w:rPr>
                <w:noProof/>
                <w:webHidden/>
              </w:rPr>
              <w:fldChar w:fldCharType="begin"/>
            </w:r>
            <w:r>
              <w:rPr>
                <w:noProof/>
                <w:webHidden/>
              </w:rPr>
              <w:instrText xml:space="preserve"> PAGEREF _Toc222739135 \h </w:instrText>
            </w:r>
            <w:r>
              <w:rPr>
                <w:noProof/>
                <w:webHidden/>
              </w:rPr>
            </w:r>
            <w:r>
              <w:rPr>
                <w:noProof/>
                <w:webHidden/>
              </w:rPr>
              <w:fldChar w:fldCharType="separate"/>
            </w:r>
            <w:r>
              <w:rPr>
                <w:noProof/>
                <w:webHidden/>
              </w:rPr>
              <w:t>3</w:t>
            </w:r>
            <w:r>
              <w:rPr>
                <w:noProof/>
                <w:webHidden/>
              </w:rPr>
              <w:fldChar w:fldCharType="end"/>
            </w:r>
          </w:hyperlink>
        </w:p>
        <w:p w14:paraId="27D36486" w14:textId="125CE6F3" w:rsidR="00900872" w:rsidRDefault="00900872">
          <w:pPr>
            <w:pStyle w:val="Verzeichnis1"/>
            <w:tabs>
              <w:tab w:val="right" w:leader="dot" w:pos="9062"/>
            </w:tabs>
            <w:rPr>
              <w:rFonts w:eastAsiaTheme="minorEastAsia"/>
              <w:noProof/>
              <w:sz w:val="24"/>
              <w:szCs w:val="24"/>
              <w:lang w:eastAsia="de-AT"/>
            </w:rPr>
          </w:pPr>
          <w:hyperlink w:anchor="_Toc222739136" w:history="1">
            <w:r w:rsidRPr="008315DC">
              <w:rPr>
                <w:rStyle w:val="Hyperlink"/>
                <w:noProof/>
              </w:rPr>
              <w:t>4.2 Grundlagen photovoltaischer Energieversorgung</w:t>
            </w:r>
            <w:r>
              <w:rPr>
                <w:noProof/>
                <w:webHidden/>
              </w:rPr>
              <w:tab/>
            </w:r>
            <w:r>
              <w:rPr>
                <w:noProof/>
                <w:webHidden/>
              </w:rPr>
              <w:fldChar w:fldCharType="begin"/>
            </w:r>
            <w:r>
              <w:rPr>
                <w:noProof/>
                <w:webHidden/>
              </w:rPr>
              <w:instrText xml:space="preserve"> PAGEREF _Toc222739136 \h </w:instrText>
            </w:r>
            <w:r>
              <w:rPr>
                <w:noProof/>
                <w:webHidden/>
              </w:rPr>
            </w:r>
            <w:r>
              <w:rPr>
                <w:noProof/>
                <w:webHidden/>
              </w:rPr>
              <w:fldChar w:fldCharType="separate"/>
            </w:r>
            <w:r>
              <w:rPr>
                <w:noProof/>
                <w:webHidden/>
              </w:rPr>
              <w:t>3</w:t>
            </w:r>
            <w:r>
              <w:rPr>
                <w:noProof/>
                <w:webHidden/>
              </w:rPr>
              <w:fldChar w:fldCharType="end"/>
            </w:r>
          </w:hyperlink>
        </w:p>
        <w:p w14:paraId="73C431F5" w14:textId="5FC62B87" w:rsidR="00900872" w:rsidRDefault="00900872">
          <w:pPr>
            <w:pStyle w:val="Verzeichnis2"/>
            <w:tabs>
              <w:tab w:val="right" w:leader="dot" w:pos="9062"/>
            </w:tabs>
            <w:rPr>
              <w:rFonts w:eastAsiaTheme="minorEastAsia"/>
              <w:noProof/>
              <w:sz w:val="24"/>
              <w:szCs w:val="24"/>
              <w:lang w:eastAsia="de-AT"/>
            </w:rPr>
          </w:pPr>
          <w:hyperlink w:anchor="_Toc222739137" w:history="1">
            <w:r w:rsidRPr="008315DC">
              <w:rPr>
                <w:rStyle w:val="Hyperlink"/>
                <w:noProof/>
              </w:rPr>
              <w:t>4.2.1 Kennlinien und Maximum Power Point Tracking</w:t>
            </w:r>
            <w:r>
              <w:rPr>
                <w:noProof/>
                <w:webHidden/>
              </w:rPr>
              <w:tab/>
            </w:r>
            <w:r>
              <w:rPr>
                <w:noProof/>
                <w:webHidden/>
              </w:rPr>
              <w:fldChar w:fldCharType="begin"/>
            </w:r>
            <w:r>
              <w:rPr>
                <w:noProof/>
                <w:webHidden/>
              </w:rPr>
              <w:instrText xml:space="preserve"> PAGEREF _Toc222739137 \h </w:instrText>
            </w:r>
            <w:r>
              <w:rPr>
                <w:noProof/>
                <w:webHidden/>
              </w:rPr>
            </w:r>
            <w:r>
              <w:rPr>
                <w:noProof/>
                <w:webHidden/>
              </w:rPr>
              <w:fldChar w:fldCharType="separate"/>
            </w:r>
            <w:r>
              <w:rPr>
                <w:noProof/>
                <w:webHidden/>
              </w:rPr>
              <w:t>4</w:t>
            </w:r>
            <w:r>
              <w:rPr>
                <w:noProof/>
                <w:webHidden/>
              </w:rPr>
              <w:fldChar w:fldCharType="end"/>
            </w:r>
          </w:hyperlink>
        </w:p>
        <w:p w14:paraId="48BD7692" w14:textId="75DAA740" w:rsidR="00900872" w:rsidRDefault="00900872">
          <w:pPr>
            <w:pStyle w:val="Verzeichnis2"/>
            <w:tabs>
              <w:tab w:val="right" w:leader="dot" w:pos="9062"/>
            </w:tabs>
            <w:rPr>
              <w:rFonts w:eastAsiaTheme="minorEastAsia"/>
              <w:noProof/>
              <w:sz w:val="24"/>
              <w:szCs w:val="24"/>
              <w:lang w:eastAsia="de-AT"/>
            </w:rPr>
          </w:pPr>
          <w:hyperlink w:anchor="_Toc222739138" w:history="1">
            <w:r w:rsidRPr="008315DC">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_Toc222739138 \h </w:instrText>
            </w:r>
            <w:r>
              <w:rPr>
                <w:noProof/>
                <w:webHidden/>
              </w:rPr>
            </w:r>
            <w:r>
              <w:rPr>
                <w:noProof/>
                <w:webHidden/>
              </w:rPr>
              <w:fldChar w:fldCharType="separate"/>
            </w:r>
            <w:r>
              <w:rPr>
                <w:noProof/>
                <w:webHidden/>
              </w:rPr>
              <w:t>5</w:t>
            </w:r>
            <w:r>
              <w:rPr>
                <w:noProof/>
                <w:webHidden/>
              </w:rPr>
              <w:fldChar w:fldCharType="end"/>
            </w:r>
          </w:hyperlink>
        </w:p>
        <w:p w14:paraId="277A8E8A" w14:textId="5C44E76B" w:rsidR="00900872" w:rsidRDefault="00900872">
          <w:pPr>
            <w:pStyle w:val="Verzeichnis1"/>
            <w:tabs>
              <w:tab w:val="right" w:leader="dot" w:pos="9062"/>
            </w:tabs>
            <w:rPr>
              <w:rFonts w:eastAsiaTheme="minorEastAsia"/>
              <w:noProof/>
              <w:sz w:val="24"/>
              <w:szCs w:val="24"/>
              <w:lang w:eastAsia="de-AT"/>
            </w:rPr>
          </w:pPr>
          <w:hyperlink w:anchor="_Toc222739139" w:history="1">
            <w:r w:rsidRPr="008315DC">
              <w:rPr>
                <w:rStyle w:val="Hyperlink"/>
                <w:noProof/>
              </w:rPr>
              <w:t>4.3 Systemauslegung und Dimensionierung</w:t>
            </w:r>
            <w:r>
              <w:rPr>
                <w:noProof/>
                <w:webHidden/>
              </w:rPr>
              <w:tab/>
            </w:r>
            <w:r>
              <w:rPr>
                <w:noProof/>
                <w:webHidden/>
              </w:rPr>
              <w:fldChar w:fldCharType="begin"/>
            </w:r>
            <w:r>
              <w:rPr>
                <w:noProof/>
                <w:webHidden/>
              </w:rPr>
              <w:instrText xml:space="preserve"> PAGEREF _Toc222739139 \h </w:instrText>
            </w:r>
            <w:r>
              <w:rPr>
                <w:noProof/>
                <w:webHidden/>
              </w:rPr>
            </w:r>
            <w:r>
              <w:rPr>
                <w:noProof/>
                <w:webHidden/>
              </w:rPr>
              <w:fldChar w:fldCharType="separate"/>
            </w:r>
            <w:r>
              <w:rPr>
                <w:noProof/>
                <w:webHidden/>
              </w:rPr>
              <w:t>5</w:t>
            </w:r>
            <w:r>
              <w:rPr>
                <w:noProof/>
                <w:webHidden/>
              </w:rPr>
              <w:fldChar w:fldCharType="end"/>
            </w:r>
          </w:hyperlink>
        </w:p>
        <w:p w14:paraId="23BB1342" w14:textId="6C6E3BE4" w:rsidR="00900872" w:rsidRDefault="00900872">
          <w:pPr>
            <w:pStyle w:val="Verzeichnis2"/>
            <w:tabs>
              <w:tab w:val="right" w:leader="dot" w:pos="9062"/>
            </w:tabs>
            <w:rPr>
              <w:rFonts w:eastAsiaTheme="minorEastAsia"/>
              <w:noProof/>
              <w:sz w:val="24"/>
              <w:szCs w:val="24"/>
              <w:lang w:eastAsia="de-AT"/>
            </w:rPr>
          </w:pPr>
          <w:hyperlink w:anchor="_Toc222739140" w:history="1">
            <w:r w:rsidRPr="008315DC">
              <w:rPr>
                <w:rStyle w:val="Hyperlink"/>
                <w:noProof/>
              </w:rPr>
              <w:t>4.3.1 Ermittlung des Energiebedarfs</w:t>
            </w:r>
            <w:r>
              <w:rPr>
                <w:noProof/>
                <w:webHidden/>
              </w:rPr>
              <w:tab/>
            </w:r>
            <w:r>
              <w:rPr>
                <w:noProof/>
                <w:webHidden/>
              </w:rPr>
              <w:fldChar w:fldCharType="begin"/>
            </w:r>
            <w:r>
              <w:rPr>
                <w:noProof/>
                <w:webHidden/>
              </w:rPr>
              <w:instrText xml:space="preserve"> PAGEREF _Toc222739140 \h </w:instrText>
            </w:r>
            <w:r>
              <w:rPr>
                <w:noProof/>
                <w:webHidden/>
              </w:rPr>
            </w:r>
            <w:r>
              <w:rPr>
                <w:noProof/>
                <w:webHidden/>
              </w:rPr>
              <w:fldChar w:fldCharType="separate"/>
            </w:r>
            <w:r>
              <w:rPr>
                <w:noProof/>
                <w:webHidden/>
              </w:rPr>
              <w:t>6</w:t>
            </w:r>
            <w:r>
              <w:rPr>
                <w:noProof/>
                <w:webHidden/>
              </w:rPr>
              <w:fldChar w:fldCharType="end"/>
            </w:r>
          </w:hyperlink>
        </w:p>
        <w:p w14:paraId="5ADE9D9F" w14:textId="04FB933D" w:rsidR="00900872" w:rsidRDefault="00900872">
          <w:pPr>
            <w:pStyle w:val="Verzeichnis2"/>
            <w:tabs>
              <w:tab w:val="right" w:leader="dot" w:pos="9062"/>
            </w:tabs>
            <w:rPr>
              <w:rFonts w:eastAsiaTheme="minorEastAsia"/>
              <w:noProof/>
              <w:sz w:val="24"/>
              <w:szCs w:val="24"/>
              <w:lang w:eastAsia="de-AT"/>
            </w:rPr>
          </w:pPr>
          <w:hyperlink w:anchor="_Toc222739141" w:history="1">
            <w:r w:rsidRPr="008315DC">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_Toc222739141 \h </w:instrText>
            </w:r>
            <w:r>
              <w:rPr>
                <w:noProof/>
                <w:webHidden/>
              </w:rPr>
            </w:r>
            <w:r>
              <w:rPr>
                <w:noProof/>
                <w:webHidden/>
              </w:rPr>
              <w:fldChar w:fldCharType="separate"/>
            </w:r>
            <w:r>
              <w:rPr>
                <w:noProof/>
                <w:webHidden/>
              </w:rPr>
              <w:t>6</w:t>
            </w:r>
            <w:r>
              <w:rPr>
                <w:noProof/>
                <w:webHidden/>
              </w:rPr>
              <w:fldChar w:fldCharType="end"/>
            </w:r>
          </w:hyperlink>
        </w:p>
        <w:p w14:paraId="2951C404" w14:textId="04A3C704" w:rsidR="00900872" w:rsidRDefault="00900872">
          <w:pPr>
            <w:pStyle w:val="Verzeichnis2"/>
            <w:tabs>
              <w:tab w:val="right" w:leader="dot" w:pos="9062"/>
            </w:tabs>
            <w:rPr>
              <w:rFonts w:eastAsiaTheme="minorEastAsia"/>
              <w:noProof/>
              <w:sz w:val="24"/>
              <w:szCs w:val="24"/>
              <w:lang w:eastAsia="de-AT"/>
            </w:rPr>
          </w:pPr>
          <w:hyperlink w:anchor="_Toc222739142" w:history="1">
            <w:r w:rsidRPr="008315DC">
              <w:rPr>
                <w:rStyle w:val="Hyperlink"/>
                <w:noProof/>
              </w:rPr>
              <w:t>4.3.3 Autonomiezeit und Worst-Case-Betrachtung</w:t>
            </w:r>
            <w:r>
              <w:rPr>
                <w:noProof/>
                <w:webHidden/>
              </w:rPr>
              <w:tab/>
            </w:r>
            <w:r>
              <w:rPr>
                <w:noProof/>
                <w:webHidden/>
              </w:rPr>
              <w:fldChar w:fldCharType="begin"/>
            </w:r>
            <w:r>
              <w:rPr>
                <w:noProof/>
                <w:webHidden/>
              </w:rPr>
              <w:instrText xml:space="preserve"> PAGEREF _Toc222739142 \h </w:instrText>
            </w:r>
            <w:r>
              <w:rPr>
                <w:noProof/>
                <w:webHidden/>
              </w:rPr>
            </w:r>
            <w:r>
              <w:rPr>
                <w:noProof/>
                <w:webHidden/>
              </w:rPr>
              <w:fldChar w:fldCharType="separate"/>
            </w:r>
            <w:r>
              <w:rPr>
                <w:noProof/>
                <w:webHidden/>
              </w:rPr>
              <w:t>7</w:t>
            </w:r>
            <w:r>
              <w:rPr>
                <w:noProof/>
                <w:webHidden/>
              </w:rPr>
              <w:fldChar w:fldCharType="end"/>
            </w:r>
          </w:hyperlink>
        </w:p>
        <w:p w14:paraId="40D98C78" w14:textId="70CF2B9F" w:rsidR="00900872" w:rsidRDefault="00900872">
          <w:pPr>
            <w:pStyle w:val="Verzeichnis1"/>
            <w:tabs>
              <w:tab w:val="right" w:leader="dot" w:pos="9062"/>
            </w:tabs>
            <w:rPr>
              <w:rFonts w:eastAsiaTheme="minorEastAsia"/>
              <w:noProof/>
              <w:sz w:val="24"/>
              <w:szCs w:val="24"/>
              <w:lang w:eastAsia="de-AT"/>
            </w:rPr>
          </w:pPr>
          <w:hyperlink w:anchor="_Toc222739143" w:history="1">
            <w:r w:rsidRPr="008315DC">
              <w:rPr>
                <w:rStyle w:val="Hyperlink"/>
                <w:noProof/>
              </w:rPr>
              <w:t>4.4 Auswahl der Systemkomponenten</w:t>
            </w:r>
            <w:r>
              <w:rPr>
                <w:noProof/>
                <w:webHidden/>
              </w:rPr>
              <w:tab/>
            </w:r>
            <w:r>
              <w:rPr>
                <w:noProof/>
                <w:webHidden/>
              </w:rPr>
              <w:fldChar w:fldCharType="begin"/>
            </w:r>
            <w:r>
              <w:rPr>
                <w:noProof/>
                <w:webHidden/>
              </w:rPr>
              <w:instrText xml:space="preserve"> PAGEREF _Toc222739143 \h </w:instrText>
            </w:r>
            <w:r>
              <w:rPr>
                <w:noProof/>
                <w:webHidden/>
              </w:rPr>
            </w:r>
            <w:r>
              <w:rPr>
                <w:noProof/>
                <w:webHidden/>
              </w:rPr>
              <w:fldChar w:fldCharType="separate"/>
            </w:r>
            <w:r>
              <w:rPr>
                <w:noProof/>
                <w:webHidden/>
              </w:rPr>
              <w:t>7</w:t>
            </w:r>
            <w:r>
              <w:rPr>
                <w:noProof/>
                <w:webHidden/>
              </w:rPr>
              <w:fldChar w:fldCharType="end"/>
            </w:r>
          </w:hyperlink>
        </w:p>
        <w:p w14:paraId="74EEA837" w14:textId="06020573" w:rsidR="00900872" w:rsidRDefault="00900872">
          <w:pPr>
            <w:pStyle w:val="Verzeichnis2"/>
            <w:tabs>
              <w:tab w:val="right" w:leader="dot" w:pos="9062"/>
            </w:tabs>
            <w:rPr>
              <w:rFonts w:eastAsiaTheme="minorEastAsia"/>
              <w:noProof/>
              <w:sz w:val="24"/>
              <w:szCs w:val="24"/>
              <w:lang w:eastAsia="de-AT"/>
            </w:rPr>
          </w:pPr>
          <w:hyperlink w:anchor="_Toc222739144" w:history="1">
            <w:r w:rsidRPr="008315DC">
              <w:rPr>
                <w:rStyle w:val="Hyperlink"/>
                <w:noProof/>
              </w:rPr>
              <w:t>4.4.1 PV-Modul enjoysolar 180</w:t>
            </w:r>
            <w:r w:rsidRPr="008315DC">
              <w:rPr>
                <w:rStyle w:val="Hyperlink"/>
                <w:rFonts w:cs="Arial"/>
                <w:noProof/>
              </w:rPr>
              <w:t> </w:t>
            </w:r>
            <w:r w:rsidRPr="008315DC">
              <w:rPr>
                <w:rStyle w:val="Hyperlink"/>
                <w:noProof/>
              </w:rPr>
              <w:t>W 12</w:t>
            </w:r>
            <w:r w:rsidRPr="008315DC">
              <w:rPr>
                <w:rStyle w:val="Hyperlink"/>
                <w:rFonts w:cs="Arial"/>
                <w:noProof/>
              </w:rPr>
              <w:t> </w:t>
            </w:r>
            <w:r w:rsidRPr="008315DC">
              <w:rPr>
                <w:rStyle w:val="Hyperlink"/>
                <w:noProof/>
              </w:rPr>
              <w:t>V</w:t>
            </w:r>
            <w:r>
              <w:rPr>
                <w:noProof/>
                <w:webHidden/>
              </w:rPr>
              <w:tab/>
            </w:r>
            <w:r>
              <w:rPr>
                <w:noProof/>
                <w:webHidden/>
              </w:rPr>
              <w:fldChar w:fldCharType="begin"/>
            </w:r>
            <w:r>
              <w:rPr>
                <w:noProof/>
                <w:webHidden/>
              </w:rPr>
              <w:instrText xml:space="preserve"> PAGEREF _Toc222739144 \h </w:instrText>
            </w:r>
            <w:r>
              <w:rPr>
                <w:noProof/>
                <w:webHidden/>
              </w:rPr>
            </w:r>
            <w:r>
              <w:rPr>
                <w:noProof/>
                <w:webHidden/>
              </w:rPr>
              <w:fldChar w:fldCharType="separate"/>
            </w:r>
            <w:r>
              <w:rPr>
                <w:noProof/>
                <w:webHidden/>
              </w:rPr>
              <w:t>7</w:t>
            </w:r>
            <w:r>
              <w:rPr>
                <w:noProof/>
                <w:webHidden/>
              </w:rPr>
              <w:fldChar w:fldCharType="end"/>
            </w:r>
          </w:hyperlink>
        </w:p>
        <w:p w14:paraId="02B830E8" w14:textId="55B77ACB" w:rsidR="00900872" w:rsidRDefault="00900872">
          <w:pPr>
            <w:pStyle w:val="Verzeichnis2"/>
            <w:tabs>
              <w:tab w:val="right" w:leader="dot" w:pos="9062"/>
            </w:tabs>
            <w:rPr>
              <w:rFonts w:eastAsiaTheme="minorEastAsia"/>
              <w:noProof/>
              <w:sz w:val="24"/>
              <w:szCs w:val="24"/>
              <w:lang w:eastAsia="de-AT"/>
            </w:rPr>
          </w:pPr>
          <w:hyperlink w:anchor="_Toc222739145" w:history="1">
            <w:r w:rsidRPr="008315DC">
              <w:rPr>
                <w:rStyle w:val="Hyperlink"/>
                <w:noProof/>
              </w:rPr>
              <w:t>4.4.2 AGM Super Cycle Batterie 100 Ah</w:t>
            </w:r>
            <w:r>
              <w:rPr>
                <w:noProof/>
                <w:webHidden/>
              </w:rPr>
              <w:tab/>
            </w:r>
            <w:r>
              <w:rPr>
                <w:noProof/>
                <w:webHidden/>
              </w:rPr>
              <w:fldChar w:fldCharType="begin"/>
            </w:r>
            <w:r>
              <w:rPr>
                <w:noProof/>
                <w:webHidden/>
              </w:rPr>
              <w:instrText xml:space="preserve"> PAGEREF _Toc222739145 \h </w:instrText>
            </w:r>
            <w:r>
              <w:rPr>
                <w:noProof/>
                <w:webHidden/>
              </w:rPr>
            </w:r>
            <w:r>
              <w:rPr>
                <w:noProof/>
                <w:webHidden/>
              </w:rPr>
              <w:fldChar w:fldCharType="separate"/>
            </w:r>
            <w:r>
              <w:rPr>
                <w:noProof/>
                <w:webHidden/>
              </w:rPr>
              <w:t>8</w:t>
            </w:r>
            <w:r>
              <w:rPr>
                <w:noProof/>
                <w:webHidden/>
              </w:rPr>
              <w:fldChar w:fldCharType="end"/>
            </w:r>
          </w:hyperlink>
        </w:p>
        <w:p w14:paraId="6F38EF8C" w14:textId="3161E2D3" w:rsidR="00900872" w:rsidRDefault="00900872">
          <w:pPr>
            <w:pStyle w:val="Verzeichnis2"/>
            <w:tabs>
              <w:tab w:val="right" w:leader="dot" w:pos="9062"/>
            </w:tabs>
            <w:rPr>
              <w:rFonts w:eastAsiaTheme="minorEastAsia"/>
              <w:noProof/>
              <w:sz w:val="24"/>
              <w:szCs w:val="24"/>
              <w:lang w:eastAsia="de-AT"/>
            </w:rPr>
          </w:pPr>
          <w:hyperlink w:anchor="_Toc222739146" w:history="1">
            <w:r w:rsidRPr="008315DC">
              <w:rPr>
                <w:rStyle w:val="Hyperlink"/>
                <w:noProof/>
              </w:rPr>
              <w:t>4.4.3 Victron MultiPlus 12/800</w:t>
            </w:r>
            <w:r>
              <w:rPr>
                <w:noProof/>
                <w:webHidden/>
              </w:rPr>
              <w:tab/>
            </w:r>
            <w:r>
              <w:rPr>
                <w:noProof/>
                <w:webHidden/>
              </w:rPr>
              <w:fldChar w:fldCharType="begin"/>
            </w:r>
            <w:r>
              <w:rPr>
                <w:noProof/>
                <w:webHidden/>
              </w:rPr>
              <w:instrText xml:space="preserve"> PAGEREF _Toc222739146 \h </w:instrText>
            </w:r>
            <w:r>
              <w:rPr>
                <w:noProof/>
                <w:webHidden/>
              </w:rPr>
            </w:r>
            <w:r>
              <w:rPr>
                <w:noProof/>
                <w:webHidden/>
              </w:rPr>
              <w:fldChar w:fldCharType="separate"/>
            </w:r>
            <w:r>
              <w:rPr>
                <w:noProof/>
                <w:webHidden/>
              </w:rPr>
              <w:t>8</w:t>
            </w:r>
            <w:r>
              <w:rPr>
                <w:noProof/>
                <w:webHidden/>
              </w:rPr>
              <w:fldChar w:fldCharType="end"/>
            </w:r>
          </w:hyperlink>
        </w:p>
        <w:p w14:paraId="764AC1B3" w14:textId="3AAC4A61" w:rsidR="00900872" w:rsidRDefault="00900872">
          <w:pPr>
            <w:pStyle w:val="Verzeichnis2"/>
            <w:tabs>
              <w:tab w:val="right" w:leader="dot" w:pos="9062"/>
            </w:tabs>
            <w:rPr>
              <w:rFonts w:eastAsiaTheme="minorEastAsia"/>
              <w:noProof/>
              <w:sz w:val="24"/>
              <w:szCs w:val="24"/>
              <w:lang w:eastAsia="de-AT"/>
            </w:rPr>
          </w:pPr>
          <w:hyperlink w:anchor="_Toc222739147" w:history="1">
            <w:r w:rsidRPr="008315DC">
              <w:rPr>
                <w:rStyle w:val="Hyperlink"/>
                <w:noProof/>
              </w:rPr>
              <w:t>4.4.4 Victron SmartShunt 500</w:t>
            </w:r>
            <w:r w:rsidRPr="008315DC">
              <w:rPr>
                <w:rStyle w:val="Hyperlink"/>
                <w:rFonts w:ascii="Arial" w:hAnsi="Arial" w:cs="Arial"/>
                <w:noProof/>
              </w:rPr>
              <w:t> </w:t>
            </w:r>
            <w:r w:rsidRPr="008315DC">
              <w:rPr>
                <w:rStyle w:val="Hyperlink"/>
                <w:noProof/>
              </w:rPr>
              <w:t>A</w:t>
            </w:r>
            <w:r>
              <w:rPr>
                <w:noProof/>
                <w:webHidden/>
              </w:rPr>
              <w:tab/>
            </w:r>
            <w:r>
              <w:rPr>
                <w:noProof/>
                <w:webHidden/>
              </w:rPr>
              <w:fldChar w:fldCharType="begin"/>
            </w:r>
            <w:r>
              <w:rPr>
                <w:noProof/>
                <w:webHidden/>
              </w:rPr>
              <w:instrText xml:space="preserve"> PAGEREF _Toc222739147 \h </w:instrText>
            </w:r>
            <w:r>
              <w:rPr>
                <w:noProof/>
                <w:webHidden/>
              </w:rPr>
            </w:r>
            <w:r>
              <w:rPr>
                <w:noProof/>
                <w:webHidden/>
              </w:rPr>
              <w:fldChar w:fldCharType="separate"/>
            </w:r>
            <w:r>
              <w:rPr>
                <w:noProof/>
                <w:webHidden/>
              </w:rPr>
              <w:t>8</w:t>
            </w:r>
            <w:r>
              <w:rPr>
                <w:noProof/>
                <w:webHidden/>
              </w:rPr>
              <w:fldChar w:fldCharType="end"/>
            </w:r>
          </w:hyperlink>
        </w:p>
        <w:p w14:paraId="2CF5D9E7" w14:textId="7D1033C8" w:rsidR="00900872" w:rsidRDefault="00900872">
          <w:pPr>
            <w:pStyle w:val="Verzeichnis2"/>
            <w:tabs>
              <w:tab w:val="right" w:leader="dot" w:pos="9062"/>
            </w:tabs>
            <w:rPr>
              <w:rFonts w:eastAsiaTheme="minorEastAsia"/>
              <w:noProof/>
              <w:sz w:val="24"/>
              <w:szCs w:val="24"/>
              <w:lang w:eastAsia="de-AT"/>
            </w:rPr>
          </w:pPr>
          <w:hyperlink w:anchor="_Toc222739148" w:history="1">
            <w:r w:rsidRPr="008315DC">
              <w:rPr>
                <w:rStyle w:val="Hyperlink"/>
                <w:noProof/>
              </w:rPr>
              <w:t>4.4.5 Victron Orion 12/12-18</w:t>
            </w:r>
            <w:r>
              <w:rPr>
                <w:noProof/>
                <w:webHidden/>
              </w:rPr>
              <w:tab/>
            </w:r>
            <w:r>
              <w:rPr>
                <w:noProof/>
                <w:webHidden/>
              </w:rPr>
              <w:fldChar w:fldCharType="begin"/>
            </w:r>
            <w:r>
              <w:rPr>
                <w:noProof/>
                <w:webHidden/>
              </w:rPr>
              <w:instrText xml:space="preserve"> PAGEREF _Toc222739148 \h </w:instrText>
            </w:r>
            <w:r>
              <w:rPr>
                <w:noProof/>
                <w:webHidden/>
              </w:rPr>
            </w:r>
            <w:r>
              <w:rPr>
                <w:noProof/>
                <w:webHidden/>
              </w:rPr>
              <w:fldChar w:fldCharType="separate"/>
            </w:r>
            <w:r>
              <w:rPr>
                <w:noProof/>
                <w:webHidden/>
              </w:rPr>
              <w:t>8</w:t>
            </w:r>
            <w:r>
              <w:rPr>
                <w:noProof/>
                <w:webHidden/>
              </w:rPr>
              <w:fldChar w:fldCharType="end"/>
            </w:r>
          </w:hyperlink>
        </w:p>
        <w:p w14:paraId="6EB53FB8" w14:textId="0DE4F916" w:rsidR="00900872" w:rsidRDefault="00900872">
          <w:pPr>
            <w:pStyle w:val="Verzeichnis2"/>
            <w:tabs>
              <w:tab w:val="right" w:leader="dot" w:pos="9062"/>
            </w:tabs>
            <w:rPr>
              <w:rFonts w:eastAsiaTheme="minorEastAsia"/>
              <w:noProof/>
              <w:sz w:val="24"/>
              <w:szCs w:val="24"/>
              <w:lang w:eastAsia="de-AT"/>
            </w:rPr>
          </w:pPr>
          <w:hyperlink w:anchor="_Toc222739149" w:history="1">
            <w:r w:rsidRPr="008315DC">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_Toc222739149 \h </w:instrText>
            </w:r>
            <w:r>
              <w:rPr>
                <w:noProof/>
                <w:webHidden/>
              </w:rPr>
            </w:r>
            <w:r>
              <w:rPr>
                <w:noProof/>
                <w:webHidden/>
              </w:rPr>
              <w:fldChar w:fldCharType="separate"/>
            </w:r>
            <w:r>
              <w:rPr>
                <w:noProof/>
                <w:webHidden/>
              </w:rPr>
              <w:t>9</w:t>
            </w:r>
            <w:r>
              <w:rPr>
                <w:noProof/>
                <w:webHidden/>
              </w:rPr>
              <w:fldChar w:fldCharType="end"/>
            </w:r>
          </w:hyperlink>
        </w:p>
        <w:p w14:paraId="3A5A56A7" w14:textId="0E2DD132" w:rsidR="00900872" w:rsidRDefault="00900872">
          <w:pPr>
            <w:pStyle w:val="Verzeichnis2"/>
            <w:tabs>
              <w:tab w:val="right" w:leader="dot" w:pos="9062"/>
            </w:tabs>
            <w:rPr>
              <w:rFonts w:eastAsiaTheme="minorEastAsia"/>
              <w:noProof/>
              <w:sz w:val="24"/>
              <w:szCs w:val="24"/>
              <w:lang w:eastAsia="de-AT"/>
            </w:rPr>
          </w:pPr>
          <w:hyperlink w:anchor="_Toc222739150" w:history="1">
            <w:r w:rsidRPr="008315DC">
              <w:rPr>
                <w:rStyle w:val="Hyperlink"/>
                <w:noProof/>
              </w:rPr>
              <w:t>4.4.7 Verkabelung und Absicherung</w:t>
            </w:r>
            <w:r>
              <w:rPr>
                <w:noProof/>
                <w:webHidden/>
              </w:rPr>
              <w:tab/>
            </w:r>
            <w:r>
              <w:rPr>
                <w:noProof/>
                <w:webHidden/>
              </w:rPr>
              <w:fldChar w:fldCharType="begin"/>
            </w:r>
            <w:r>
              <w:rPr>
                <w:noProof/>
                <w:webHidden/>
              </w:rPr>
              <w:instrText xml:space="preserve"> PAGEREF _Toc222739150 \h </w:instrText>
            </w:r>
            <w:r>
              <w:rPr>
                <w:noProof/>
                <w:webHidden/>
              </w:rPr>
            </w:r>
            <w:r>
              <w:rPr>
                <w:noProof/>
                <w:webHidden/>
              </w:rPr>
              <w:fldChar w:fldCharType="separate"/>
            </w:r>
            <w:r>
              <w:rPr>
                <w:noProof/>
                <w:webHidden/>
              </w:rPr>
              <w:t>9</w:t>
            </w:r>
            <w:r>
              <w:rPr>
                <w:noProof/>
                <w:webHidden/>
              </w:rPr>
              <w:fldChar w:fldCharType="end"/>
            </w:r>
          </w:hyperlink>
        </w:p>
        <w:p w14:paraId="36BB1238" w14:textId="5706F43B" w:rsidR="00900872" w:rsidRDefault="00900872">
          <w:pPr>
            <w:pStyle w:val="Verzeichnis1"/>
            <w:tabs>
              <w:tab w:val="right" w:leader="dot" w:pos="9062"/>
            </w:tabs>
            <w:rPr>
              <w:rFonts w:eastAsiaTheme="minorEastAsia"/>
              <w:noProof/>
              <w:sz w:val="24"/>
              <w:szCs w:val="24"/>
              <w:lang w:eastAsia="de-AT"/>
            </w:rPr>
          </w:pPr>
          <w:hyperlink w:anchor="_Toc222739151" w:history="1">
            <w:r w:rsidRPr="008315DC">
              <w:rPr>
                <w:rStyle w:val="Hyperlink"/>
                <w:noProof/>
              </w:rPr>
              <w:t>4.5 Batterietechnologien im Vergleich</w:t>
            </w:r>
            <w:r>
              <w:rPr>
                <w:noProof/>
                <w:webHidden/>
              </w:rPr>
              <w:tab/>
            </w:r>
            <w:r>
              <w:rPr>
                <w:noProof/>
                <w:webHidden/>
              </w:rPr>
              <w:fldChar w:fldCharType="begin"/>
            </w:r>
            <w:r>
              <w:rPr>
                <w:noProof/>
                <w:webHidden/>
              </w:rPr>
              <w:instrText xml:space="preserve"> PAGEREF _Toc222739151 \h </w:instrText>
            </w:r>
            <w:r>
              <w:rPr>
                <w:noProof/>
                <w:webHidden/>
              </w:rPr>
            </w:r>
            <w:r>
              <w:rPr>
                <w:noProof/>
                <w:webHidden/>
              </w:rPr>
              <w:fldChar w:fldCharType="separate"/>
            </w:r>
            <w:r>
              <w:rPr>
                <w:noProof/>
                <w:webHidden/>
              </w:rPr>
              <w:t>9</w:t>
            </w:r>
            <w:r>
              <w:rPr>
                <w:noProof/>
                <w:webHidden/>
              </w:rPr>
              <w:fldChar w:fldCharType="end"/>
            </w:r>
          </w:hyperlink>
        </w:p>
        <w:p w14:paraId="41B6C81C" w14:textId="2C14B8E6" w:rsidR="00900872" w:rsidRDefault="00900872">
          <w:pPr>
            <w:pStyle w:val="Verzeichnis2"/>
            <w:tabs>
              <w:tab w:val="right" w:leader="dot" w:pos="9062"/>
            </w:tabs>
            <w:rPr>
              <w:rFonts w:eastAsiaTheme="minorEastAsia"/>
              <w:noProof/>
              <w:sz w:val="24"/>
              <w:szCs w:val="24"/>
              <w:lang w:eastAsia="de-AT"/>
            </w:rPr>
          </w:pPr>
          <w:hyperlink w:anchor="_Toc222739152" w:history="1">
            <w:r w:rsidRPr="008315DC">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_Toc222739152 \h </w:instrText>
            </w:r>
            <w:r>
              <w:rPr>
                <w:noProof/>
                <w:webHidden/>
              </w:rPr>
            </w:r>
            <w:r>
              <w:rPr>
                <w:noProof/>
                <w:webHidden/>
              </w:rPr>
              <w:fldChar w:fldCharType="separate"/>
            </w:r>
            <w:r>
              <w:rPr>
                <w:noProof/>
                <w:webHidden/>
              </w:rPr>
              <w:t>9</w:t>
            </w:r>
            <w:r>
              <w:rPr>
                <w:noProof/>
                <w:webHidden/>
              </w:rPr>
              <w:fldChar w:fldCharType="end"/>
            </w:r>
          </w:hyperlink>
        </w:p>
        <w:p w14:paraId="1C27A4E1" w14:textId="2D5E482E" w:rsidR="00900872" w:rsidRDefault="00900872">
          <w:pPr>
            <w:pStyle w:val="Verzeichnis2"/>
            <w:tabs>
              <w:tab w:val="right" w:leader="dot" w:pos="9062"/>
            </w:tabs>
            <w:rPr>
              <w:rFonts w:eastAsiaTheme="minorEastAsia"/>
              <w:noProof/>
              <w:sz w:val="24"/>
              <w:szCs w:val="24"/>
              <w:lang w:eastAsia="de-AT"/>
            </w:rPr>
          </w:pPr>
          <w:hyperlink w:anchor="_Toc222739153" w:history="1">
            <w:r w:rsidRPr="008315DC">
              <w:rPr>
                <w:rStyle w:val="Hyperlink"/>
                <w:noProof/>
              </w:rPr>
              <w:t>4.5.2 Vergleich und Auswahlbegründung</w:t>
            </w:r>
            <w:r>
              <w:rPr>
                <w:noProof/>
                <w:webHidden/>
              </w:rPr>
              <w:tab/>
            </w:r>
            <w:r>
              <w:rPr>
                <w:noProof/>
                <w:webHidden/>
              </w:rPr>
              <w:fldChar w:fldCharType="begin"/>
            </w:r>
            <w:r>
              <w:rPr>
                <w:noProof/>
                <w:webHidden/>
              </w:rPr>
              <w:instrText xml:space="preserve"> PAGEREF _Toc222739153 \h </w:instrText>
            </w:r>
            <w:r>
              <w:rPr>
                <w:noProof/>
                <w:webHidden/>
              </w:rPr>
            </w:r>
            <w:r>
              <w:rPr>
                <w:noProof/>
                <w:webHidden/>
              </w:rPr>
              <w:fldChar w:fldCharType="separate"/>
            </w:r>
            <w:r>
              <w:rPr>
                <w:noProof/>
                <w:webHidden/>
              </w:rPr>
              <w:t>10</w:t>
            </w:r>
            <w:r>
              <w:rPr>
                <w:noProof/>
                <w:webHidden/>
              </w:rPr>
              <w:fldChar w:fldCharType="end"/>
            </w:r>
          </w:hyperlink>
        </w:p>
        <w:p w14:paraId="37ED02E3" w14:textId="50F8892C" w:rsidR="00900872" w:rsidRDefault="00900872">
          <w:pPr>
            <w:pStyle w:val="Verzeichnis1"/>
            <w:tabs>
              <w:tab w:val="right" w:leader="dot" w:pos="9062"/>
            </w:tabs>
            <w:rPr>
              <w:rFonts w:eastAsiaTheme="minorEastAsia"/>
              <w:noProof/>
              <w:sz w:val="24"/>
              <w:szCs w:val="24"/>
              <w:lang w:eastAsia="de-AT"/>
            </w:rPr>
          </w:pPr>
          <w:hyperlink w:anchor="_Toc222739154" w:history="1">
            <w:r w:rsidRPr="008315DC">
              <w:rPr>
                <w:rStyle w:val="Hyperlink"/>
                <w:noProof/>
              </w:rPr>
              <w:t>4.6 Integration und Konfiguration des Victron-Energy-Monitoring-Systems</w:t>
            </w:r>
            <w:r>
              <w:rPr>
                <w:noProof/>
                <w:webHidden/>
              </w:rPr>
              <w:tab/>
            </w:r>
            <w:r>
              <w:rPr>
                <w:noProof/>
                <w:webHidden/>
              </w:rPr>
              <w:fldChar w:fldCharType="begin"/>
            </w:r>
            <w:r>
              <w:rPr>
                <w:noProof/>
                <w:webHidden/>
              </w:rPr>
              <w:instrText xml:space="preserve"> PAGEREF _Toc222739154 \h </w:instrText>
            </w:r>
            <w:r>
              <w:rPr>
                <w:noProof/>
                <w:webHidden/>
              </w:rPr>
            </w:r>
            <w:r>
              <w:rPr>
                <w:noProof/>
                <w:webHidden/>
              </w:rPr>
              <w:fldChar w:fldCharType="separate"/>
            </w:r>
            <w:r>
              <w:rPr>
                <w:noProof/>
                <w:webHidden/>
              </w:rPr>
              <w:t>11</w:t>
            </w:r>
            <w:r>
              <w:rPr>
                <w:noProof/>
                <w:webHidden/>
              </w:rPr>
              <w:fldChar w:fldCharType="end"/>
            </w:r>
          </w:hyperlink>
        </w:p>
        <w:p w14:paraId="1A948C51" w14:textId="1A81D761" w:rsidR="00900872" w:rsidRDefault="00900872">
          <w:pPr>
            <w:pStyle w:val="Verzeichnis2"/>
            <w:tabs>
              <w:tab w:val="right" w:leader="dot" w:pos="9062"/>
            </w:tabs>
            <w:rPr>
              <w:rFonts w:eastAsiaTheme="minorEastAsia"/>
              <w:noProof/>
              <w:sz w:val="24"/>
              <w:szCs w:val="24"/>
              <w:lang w:eastAsia="de-AT"/>
            </w:rPr>
          </w:pPr>
          <w:hyperlink w:anchor="_Toc222739155" w:history="1">
            <w:r w:rsidRPr="008315DC">
              <w:rPr>
                <w:rStyle w:val="Hyperlink"/>
                <w:noProof/>
              </w:rPr>
              <w:t>4.6.1 Systemarchitektur und Kommunikationsschnittstellen</w:t>
            </w:r>
            <w:r>
              <w:rPr>
                <w:noProof/>
                <w:webHidden/>
              </w:rPr>
              <w:tab/>
            </w:r>
            <w:r>
              <w:rPr>
                <w:noProof/>
                <w:webHidden/>
              </w:rPr>
              <w:fldChar w:fldCharType="begin"/>
            </w:r>
            <w:r>
              <w:rPr>
                <w:noProof/>
                <w:webHidden/>
              </w:rPr>
              <w:instrText xml:space="preserve"> PAGEREF _Toc222739155 \h </w:instrText>
            </w:r>
            <w:r>
              <w:rPr>
                <w:noProof/>
                <w:webHidden/>
              </w:rPr>
            </w:r>
            <w:r>
              <w:rPr>
                <w:noProof/>
                <w:webHidden/>
              </w:rPr>
              <w:fldChar w:fldCharType="separate"/>
            </w:r>
            <w:r>
              <w:rPr>
                <w:noProof/>
                <w:webHidden/>
              </w:rPr>
              <w:t>11</w:t>
            </w:r>
            <w:r>
              <w:rPr>
                <w:noProof/>
                <w:webHidden/>
              </w:rPr>
              <w:fldChar w:fldCharType="end"/>
            </w:r>
          </w:hyperlink>
        </w:p>
        <w:p w14:paraId="4FD7CEB3" w14:textId="168D3788" w:rsidR="00900872" w:rsidRDefault="00900872">
          <w:pPr>
            <w:pStyle w:val="Verzeichnis2"/>
            <w:tabs>
              <w:tab w:val="right" w:leader="dot" w:pos="9062"/>
            </w:tabs>
            <w:rPr>
              <w:rFonts w:eastAsiaTheme="minorEastAsia"/>
              <w:noProof/>
              <w:sz w:val="24"/>
              <w:szCs w:val="24"/>
              <w:lang w:eastAsia="de-AT"/>
            </w:rPr>
          </w:pPr>
          <w:hyperlink w:anchor="_Toc222739156" w:history="1">
            <w:r w:rsidRPr="008315DC">
              <w:rPr>
                <w:rStyle w:val="Hyperlink"/>
                <w:noProof/>
              </w:rPr>
              <w:t>4.6.2 Cerbo GX als zentrale Monitoring-Einheit</w:t>
            </w:r>
            <w:r>
              <w:rPr>
                <w:noProof/>
                <w:webHidden/>
              </w:rPr>
              <w:tab/>
            </w:r>
            <w:r>
              <w:rPr>
                <w:noProof/>
                <w:webHidden/>
              </w:rPr>
              <w:fldChar w:fldCharType="begin"/>
            </w:r>
            <w:r>
              <w:rPr>
                <w:noProof/>
                <w:webHidden/>
              </w:rPr>
              <w:instrText xml:space="preserve"> PAGEREF _Toc222739156 \h </w:instrText>
            </w:r>
            <w:r>
              <w:rPr>
                <w:noProof/>
                <w:webHidden/>
              </w:rPr>
            </w:r>
            <w:r>
              <w:rPr>
                <w:noProof/>
                <w:webHidden/>
              </w:rPr>
              <w:fldChar w:fldCharType="separate"/>
            </w:r>
            <w:r>
              <w:rPr>
                <w:noProof/>
                <w:webHidden/>
              </w:rPr>
              <w:t>12</w:t>
            </w:r>
            <w:r>
              <w:rPr>
                <w:noProof/>
                <w:webHidden/>
              </w:rPr>
              <w:fldChar w:fldCharType="end"/>
            </w:r>
          </w:hyperlink>
        </w:p>
        <w:p w14:paraId="2521899D" w14:textId="5EFC75E5" w:rsidR="00900872" w:rsidRDefault="00900872">
          <w:pPr>
            <w:pStyle w:val="Verzeichnis2"/>
            <w:tabs>
              <w:tab w:val="right" w:leader="dot" w:pos="9062"/>
            </w:tabs>
            <w:rPr>
              <w:rFonts w:eastAsiaTheme="minorEastAsia"/>
              <w:noProof/>
              <w:sz w:val="24"/>
              <w:szCs w:val="24"/>
              <w:lang w:eastAsia="de-AT"/>
            </w:rPr>
          </w:pPr>
          <w:hyperlink w:anchor="_Toc222739157" w:history="1">
            <w:r w:rsidRPr="008315DC">
              <w:rPr>
                <w:rStyle w:val="Hyperlink"/>
                <w:noProof/>
              </w:rPr>
              <w:t>4.6.3 Hardwareseitiges Lastmanagement im MultiPlus</w:t>
            </w:r>
            <w:r>
              <w:rPr>
                <w:noProof/>
                <w:webHidden/>
              </w:rPr>
              <w:tab/>
            </w:r>
            <w:r>
              <w:rPr>
                <w:noProof/>
                <w:webHidden/>
              </w:rPr>
              <w:fldChar w:fldCharType="begin"/>
            </w:r>
            <w:r>
              <w:rPr>
                <w:noProof/>
                <w:webHidden/>
              </w:rPr>
              <w:instrText xml:space="preserve"> PAGEREF _Toc222739157 \h </w:instrText>
            </w:r>
            <w:r>
              <w:rPr>
                <w:noProof/>
                <w:webHidden/>
              </w:rPr>
            </w:r>
            <w:r>
              <w:rPr>
                <w:noProof/>
                <w:webHidden/>
              </w:rPr>
              <w:fldChar w:fldCharType="separate"/>
            </w:r>
            <w:r>
              <w:rPr>
                <w:noProof/>
                <w:webHidden/>
              </w:rPr>
              <w:t>12</w:t>
            </w:r>
            <w:r>
              <w:rPr>
                <w:noProof/>
                <w:webHidden/>
              </w:rPr>
              <w:fldChar w:fldCharType="end"/>
            </w:r>
          </w:hyperlink>
        </w:p>
        <w:p w14:paraId="12A904AF" w14:textId="40367D88" w:rsidR="00900872" w:rsidRDefault="00900872">
          <w:pPr>
            <w:pStyle w:val="Verzeichnis2"/>
            <w:tabs>
              <w:tab w:val="right" w:leader="dot" w:pos="9062"/>
            </w:tabs>
            <w:rPr>
              <w:rFonts w:eastAsiaTheme="minorEastAsia"/>
              <w:noProof/>
              <w:sz w:val="24"/>
              <w:szCs w:val="24"/>
              <w:lang w:eastAsia="de-AT"/>
            </w:rPr>
          </w:pPr>
          <w:hyperlink w:anchor="_Toc222739158" w:history="1">
            <w:r w:rsidRPr="008315DC">
              <w:rPr>
                <w:rStyle w:val="Hyperlink"/>
                <w:noProof/>
              </w:rPr>
              <w:t>4.6.4 Remote-Monitoring über das VRM-Portal</w:t>
            </w:r>
            <w:r>
              <w:rPr>
                <w:noProof/>
                <w:webHidden/>
              </w:rPr>
              <w:tab/>
            </w:r>
            <w:r>
              <w:rPr>
                <w:noProof/>
                <w:webHidden/>
              </w:rPr>
              <w:fldChar w:fldCharType="begin"/>
            </w:r>
            <w:r>
              <w:rPr>
                <w:noProof/>
                <w:webHidden/>
              </w:rPr>
              <w:instrText xml:space="preserve"> PAGEREF _Toc222739158 \h </w:instrText>
            </w:r>
            <w:r>
              <w:rPr>
                <w:noProof/>
                <w:webHidden/>
              </w:rPr>
            </w:r>
            <w:r>
              <w:rPr>
                <w:noProof/>
                <w:webHidden/>
              </w:rPr>
              <w:fldChar w:fldCharType="separate"/>
            </w:r>
            <w:r>
              <w:rPr>
                <w:noProof/>
                <w:webHidden/>
              </w:rPr>
              <w:t>12</w:t>
            </w:r>
            <w:r>
              <w:rPr>
                <w:noProof/>
                <w:webHidden/>
              </w:rPr>
              <w:fldChar w:fldCharType="end"/>
            </w:r>
          </w:hyperlink>
        </w:p>
        <w:p w14:paraId="79256D56" w14:textId="4C46BEB5" w:rsidR="00900872" w:rsidRDefault="00900872">
          <w:pPr>
            <w:pStyle w:val="Verzeichnis1"/>
            <w:tabs>
              <w:tab w:val="right" w:leader="dot" w:pos="9062"/>
            </w:tabs>
            <w:rPr>
              <w:rFonts w:eastAsiaTheme="minorEastAsia"/>
              <w:noProof/>
              <w:sz w:val="24"/>
              <w:szCs w:val="24"/>
              <w:lang w:eastAsia="de-AT"/>
            </w:rPr>
          </w:pPr>
          <w:hyperlink w:anchor="_Toc222739159" w:history="1">
            <w:r w:rsidRPr="008315DC">
              <w:rPr>
                <w:rStyle w:val="Hyperlink"/>
                <w:rFonts w:eastAsia="Arial"/>
                <w:noProof/>
              </w:rPr>
              <w:t>4.7 Wirtschaftliche Analyse</w:t>
            </w:r>
            <w:r>
              <w:rPr>
                <w:noProof/>
                <w:webHidden/>
              </w:rPr>
              <w:tab/>
            </w:r>
            <w:r>
              <w:rPr>
                <w:noProof/>
                <w:webHidden/>
              </w:rPr>
              <w:fldChar w:fldCharType="begin"/>
            </w:r>
            <w:r>
              <w:rPr>
                <w:noProof/>
                <w:webHidden/>
              </w:rPr>
              <w:instrText xml:space="preserve"> PAGEREF _Toc222739159 \h </w:instrText>
            </w:r>
            <w:r>
              <w:rPr>
                <w:noProof/>
                <w:webHidden/>
              </w:rPr>
            </w:r>
            <w:r>
              <w:rPr>
                <w:noProof/>
                <w:webHidden/>
              </w:rPr>
              <w:fldChar w:fldCharType="separate"/>
            </w:r>
            <w:r>
              <w:rPr>
                <w:noProof/>
                <w:webHidden/>
              </w:rPr>
              <w:t>12</w:t>
            </w:r>
            <w:r>
              <w:rPr>
                <w:noProof/>
                <w:webHidden/>
              </w:rPr>
              <w:fldChar w:fldCharType="end"/>
            </w:r>
          </w:hyperlink>
        </w:p>
        <w:p w14:paraId="2BE06C30" w14:textId="4608EC0E" w:rsidR="00900872" w:rsidRDefault="00900872">
          <w:pPr>
            <w:pStyle w:val="Verzeichnis2"/>
            <w:tabs>
              <w:tab w:val="right" w:leader="dot" w:pos="9062"/>
            </w:tabs>
            <w:rPr>
              <w:rFonts w:eastAsiaTheme="minorEastAsia"/>
              <w:noProof/>
              <w:sz w:val="24"/>
              <w:szCs w:val="24"/>
              <w:lang w:eastAsia="de-AT"/>
            </w:rPr>
          </w:pPr>
          <w:hyperlink w:anchor="_Toc222739160" w:history="1">
            <w:r w:rsidRPr="008315DC">
              <w:rPr>
                <w:rStyle w:val="Hyperlink"/>
                <w:rFonts w:eastAsia="Arial"/>
                <w:noProof/>
              </w:rPr>
              <w:t>4.7.1 ROI-Berechnung des PV-Systems</w:t>
            </w:r>
            <w:r>
              <w:rPr>
                <w:noProof/>
                <w:webHidden/>
              </w:rPr>
              <w:tab/>
            </w:r>
            <w:r>
              <w:rPr>
                <w:noProof/>
                <w:webHidden/>
              </w:rPr>
              <w:fldChar w:fldCharType="begin"/>
            </w:r>
            <w:r>
              <w:rPr>
                <w:noProof/>
                <w:webHidden/>
              </w:rPr>
              <w:instrText xml:space="preserve"> PAGEREF _Toc222739160 \h </w:instrText>
            </w:r>
            <w:r>
              <w:rPr>
                <w:noProof/>
                <w:webHidden/>
              </w:rPr>
            </w:r>
            <w:r>
              <w:rPr>
                <w:noProof/>
                <w:webHidden/>
              </w:rPr>
              <w:fldChar w:fldCharType="separate"/>
            </w:r>
            <w:r>
              <w:rPr>
                <w:noProof/>
                <w:webHidden/>
              </w:rPr>
              <w:t>12</w:t>
            </w:r>
            <w:r>
              <w:rPr>
                <w:noProof/>
                <w:webHidden/>
              </w:rPr>
              <w:fldChar w:fldCharType="end"/>
            </w:r>
          </w:hyperlink>
        </w:p>
        <w:p w14:paraId="5BA32F4C" w14:textId="512BD039" w:rsidR="00900872" w:rsidRDefault="00900872">
          <w:pPr>
            <w:pStyle w:val="Verzeichnis2"/>
            <w:tabs>
              <w:tab w:val="right" w:leader="dot" w:pos="9062"/>
            </w:tabs>
            <w:rPr>
              <w:rFonts w:eastAsiaTheme="minorEastAsia"/>
              <w:noProof/>
              <w:sz w:val="24"/>
              <w:szCs w:val="24"/>
              <w:lang w:eastAsia="de-AT"/>
            </w:rPr>
          </w:pPr>
          <w:hyperlink w:anchor="_Toc222739161" w:history="1">
            <w:r w:rsidRPr="008315DC">
              <w:rPr>
                <w:rStyle w:val="Hyperlink"/>
                <w:noProof/>
              </w:rPr>
              <w:t>4.7.2 Amortisationsrechnung und Vergleich: Insellösung versus Netzanbindung</w:t>
            </w:r>
            <w:r>
              <w:rPr>
                <w:noProof/>
                <w:webHidden/>
              </w:rPr>
              <w:tab/>
            </w:r>
            <w:r>
              <w:rPr>
                <w:noProof/>
                <w:webHidden/>
              </w:rPr>
              <w:fldChar w:fldCharType="begin"/>
            </w:r>
            <w:r>
              <w:rPr>
                <w:noProof/>
                <w:webHidden/>
              </w:rPr>
              <w:instrText xml:space="preserve"> PAGEREF _Toc222739161 \h </w:instrText>
            </w:r>
            <w:r>
              <w:rPr>
                <w:noProof/>
                <w:webHidden/>
              </w:rPr>
            </w:r>
            <w:r>
              <w:rPr>
                <w:noProof/>
                <w:webHidden/>
              </w:rPr>
              <w:fldChar w:fldCharType="separate"/>
            </w:r>
            <w:r>
              <w:rPr>
                <w:noProof/>
                <w:webHidden/>
              </w:rPr>
              <w:t>13</w:t>
            </w:r>
            <w:r>
              <w:rPr>
                <w:noProof/>
                <w:webHidden/>
              </w:rPr>
              <w:fldChar w:fldCharType="end"/>
            </w:r>
          </w:hyperlink>
        </w:p>
        <w:p w14:paraId="1E5A69DA" w14:textId="6353896B" w:rsidR="00900872" w:rsidRDefault="00900872">
          <w:pPr>
            <w:pStyle w:val="Verzeichnis2"/>
            <w:tabs>
              <w:tab w:val="right" w:leader="dot" w:pos="9062"/>
            </w:tabs>
            <w:rPr>
              <w:rFonts w:eastAsiaTheme="minorEastAsia"/>
              <w:noProof/>
              <w:sz w:val="24"/>
              <w:szCs w:val="24"/>
              <w:lang w:eastAsia="de-AT"/>
            </w:rPr>
          </w:pPr>
          <w:hyperlink w:anchor="_Toc222739162" w:history="1">
            <w:r w:rsidRPr="008315DC">
              <w:rPr>
                <w:rStyle w:val="Hyperlink"/>
                <w:noProof/>
              </w:rPr>
              <w:t>4.7.3 Betriebskosten und Wirtschaftlichkeitsbewertung</w:t>
            </w:r>
            <w:r>
              <w:rPr>
                <w:noProof/>
                <w:webHidden/>
              </w:rPr>
              <w:tab/>
            </w:r>
            <w:r>
              <w:rPr>
                <w:noProof/>
                <w:webHidden/>
              </w:rPr>
              <w:fldChar w:fldCharType="begin"/>
            </w:r>
            <w:r>
              <w:rPr>
                <w:noProof/>
                <w:webHidden/>
              </w:rPr>
              <w:instrText xml:space="preserve"> PAGEREF _Toc222739162 \h </w:instrText>
            </w:r>
            <w:r>
              <w:rPr>
                <w:noProof/>
                <w:webHidden/>
              </w:rPr>
            </w:r>
            <w:r>
              <w:rPr>
                <w:noProof/>
                <w:webHidden/>
              </w:rPr>
              <w:fldChar w:fldCharType="separate"/>
            </w:r>
            <w:r>
              <w:rPr>
                <w:noProof/>
                <w:webHidden/>
              </w:rPr>
              <w:t>15</w:t>
            </w:r>
            <w:r>
              <w:rPr>
                <w:noProof/>
                <w:webHidden/>
              </w:rPr>
              <w:fldChar w:fldCharType="end"/>
            </w:r>
          </w:hyperlink>
        </w:p>
        <w:p w14:paraId="0D9B919C" w14:textId="1E639D7D" w:rsidR="00900872" w:rsidRDefault="00900872">
          <w:pPr>
            <w:pStyle w:val="Verzeichnis1"/>
            <w:tabs>
              <w:tab w:val="right" w:leader="dot" w:pos="9062"/>
            </w:tabs>
            <w:rPr>
              <w:rFonts w:eastAsiaTheme="minorEastAsia"/>
              <w:noProof/>
              <w:sz w:val="24"/>
              <w:szCs w:val="24"/>
              <w:lang w:eastAsia="de-AT"/>
            </w:rPr>
          </w:pPr>
          <w:hyperlink w:anchor="_Toc222739163" w:history="1">
            <w:r w:rsidRPr="008315DC">
              <w:rPr>
                <w:rStyle w:val="Hyperlink"/>
                <w:noProof/>
              </w:rPr>
              <w:t>4.8 Elektrische Planung</w:t>
            </w:r>
            <w:r>
              <w:rPr>
                <w:noProof/>
                <w:webHidden/>
              </w:rPr>
              <w:tab/>
            </w:r>
            <w:r>
              <w:rPr>
                <w:noProof/>
                <w:webHidden/>
              </w:rPr>
              <w:fldChar w:fldCharType="begin"/>
            </w:r>
            <w:r>
              <w:rPr>
                <w:noProof/>
                <w:webHidden/>
              </w:rPr>
              <w:instrText xml:space="preserve"> PAGEREF _Toc222739163 \h </w:instrText>
            </w:r>
            <w:r>
              <w:rPr>
                <w:noProof/>
                <w:webHidden/>
              </w:rPr>
            </w:r>
            <w:r>
              <w:rPr>
                <w:noProof/>
                <w:webHidden/>
              </w:rPr>
              <w:fldChar w:fldCharType="separate"/>
            </w:r>
            <w:r>
              <w:rPr>
                <w:noProof/>
                <w:webHidden/>
              </w:rPr>
              <w:t>15</w:t>
            </w:r>
            <w:r>
              <w:rPr>
                <w:noProof/>
                <w:webHidden/>
              </w:rPr>
              <w:fldChar w:fldCharType="end"/>
            </w:r>
          </w:hyperlink>
        </w:p>
        <w:p w14:paraId="242DD71B" w14:textId="2D688A78" w:rsidR="00900872" w:rsidRDefault="00900872">
          <w:pPr>
            <w:pStyle w:val="Verzeichnis2"/>
            <w:tabs>
              <w:tab w:val="right" w:leader="dot" w:pos="9062"/>
            </w:tabs>
            <w:rPr>
              <w:rFonts w:eastAsiaTheme="minorEastAsia"/>
              <w:noProof/>
              <w:sz w:val="24"/>
              <w:szCs w:val="24"/>
              <w:lang w:eastAsia="de-AT"/>
            </w:rPr>
          </w:pPr>
          <w:hyperlink w:anchor="_Toc222739164" w:history="1">
            <w:r w:rsidRPr="008315DC">
              <w:rPr>
                <w:rStyle w:val="Hyperlink"/>
                <w:noProof/>
              </w:rPr>
              <w:t>4.8.1 Systemaufbau und Energiepfad</w:t>
            </w:r>
            <w:r>
              <w:rPr>
                <w:noProof/>
                <w:webHidden/>
              </w:rPr>
              <w:tab/>
            </w:r>
            <w:r>
              <w:rPr>
                <w:noProof/>
                <w:webHidden/>
              </w:rPr>
              <w:fldChar w:fldCharType="begin"/>
            </w:r>
            <w:r>
              <w:rPr>
                <w:noProof/>
                <w:webHidden/>
              </w:rPr>
              <w:instrText xml:space="preserve"> PAGEREF _Toc222739164 \h </w:instrText>
            </w:r>
            <w:r>
              <w:rPr>
                <w:noProof/>
                <w:webHidden/>
              </w:rPr>
            </w:r>
            <w:r>
              <w:rPr>
                <w:noProof/>
                <w:webHidden/>
              </w:rPr>
              <w:fldChar w:fldCharType="separate"/>
            </w:r>
            <w:r>
              <w:rPr>
                <w:noProof/>
                <w:webHidden/>
              </w:rPr>
              <w:t>16</w:t>
            </w:r>
            <w:r>
              <w:rPr>
                <w:noProof/>
                <w:webHidden/>
              </w:rPr>
              <w:fldChar w:fldCharType="end"/>
            </w:r>
          </w:hyperlink>
        </w:p>
        <w:p w14:paraId="0DA1DA96" w14:textId="53277788" w:rsidR="00900872" w:rsidRDefault="00900872">
          <w:pPr>
            <w:pStyle w:val="Verzeichnis2"/>
            <w:tabs>
              <w:tab w:val="right" w:leader="dot" w:pos="9062"/>
            </w:tabs>
            <w:rPr>
              <w:rFonts w:eastAsiaTheme="minorEastAsia"/>
              <w:noProof/>
              <w:sz w:val="24"/>
              <w:szCs w:val="24"/>
              <w:lang w:eastAsia="de-AT"/>
            </w:rPr>
          </w:pPr>
          <w:hyperlink w:anchor="_Toc222739165" w:history="1">
            <w:r w:rsidRPr="008315DC">
              <w:rPr>
                <w:rStyle w:val="Hyperlink"/>
                <w:noProof/>
              </w:rPr>
              <w:t>4.8.2 Leitungsquerschnitte und Absicherung</w:t>
            </w:r>
            <w:r>
              <w:rPr>
                <w:noProof/>
                <w:webHidden/>
              </w:rPr>
              <w:tab/>
            </w:r>
            <w:r>
              <w:rPr>
                <w:noProof/>
                <w:webHidden/>
              </w:rPr>
              <w:fldChar w:fldCharType="begin"/>
            </w:r>
            <w:r>
              <w:rPr>
                <w:noProof/>
                <w:webHidden/>
              </w:rPr>
              <w:instrText xml:space="preserve"> PAGEREF _Toc222739165 \h </w:instrText>
            </w:r>
            <w:r>
              <w:rPr>
                <w:noProof/>
                <w:webHidden/>
              </w:rPr>
            </w:r>
            <w:r>
              <w:rPr>
                <w:noProof/>
                <w:webHidden/>
              </w:rPr>
              <w:fldChar w:fldCharType="separate"/>
            </w:r>
            <w:r>
              <w:rPr>
                <w:noProof/>
                <w:webHidden/>
              </w:rPr>
              <w:t>16</w:t>
            </w:r>
            <w:r>
              <w:rPr>
                <w:noProof/>
                <w:webHidden/>
              </w:rPr>
              <w:fldChar w:fldCharType="end"/>
            </w:r>
          </w:hyperlink>
        </w:p>
        <w:p w14:paraId="154B73AD" w14:textId="1B351B63" w:rsidR="00900872" w:rsidRDefault="00900872">
          <w:pPr>
            <w:pStyle w:val="Verzeichnis1"/>
            <w:tabs>
              <w:tab w:val="right" w:leader="dot" w:pos="9062"/>
            </w:tabs>
            <w:rPr>
              <w:rFonts w:eastAsiaTheme="minorEastAsia"/>
              <w:noProof/>
              <w:sz w:val="24"/>
              <w:szCs w:val="24"/>
              <w:lang w:eastAsia="de-AT"/>
            </w:rPr>
          </w:pPr>
          <w:hyperlink w:anchor="_Toc222739166" w:history="1">
            <w:r w:rsidRPr="008315DC">
              <w:rPr>
                <w:rStyle w:val="Hyperlink"/>
                <w:noProof/>
              </w:rPr>
              <w:t>4.9 Zusammenfassung und Ausblick</w:t>
            </w:r>
            <w:r>
              <w:rPr>
                <w:noProof/>
                <w:webHidden/>
              </w:rPr>
              <w:tab/>
            </w:r>
            <w:r>
              <w:rPr>
                <w:noProof/>
                <w:webHidden/>
              </w:rPr>
              <w:fldChar w:fldCharType="begin"/>
            </w:r>
            <w:r>
              <w:rPr>
                <w:noProof/>
                <w:webHidden/>
              </w:rPr>
              <w:instrText xml:space="preserve"> PAGEREF _Toc222739166 \h </w:instrText>
            </w:r>
            <w:r>
              <w:rPr>
                <w:noProof/>
                <w:webHidden/>
              </w:rPr>
            </w:r>
            <w:r>
              <w:rPr>
                <w:noProof/>
                <w:webHidden/>
              </w:rPr>
              <w:fldChar w:fldCharType="separate"/>
            </w:r>
            <w:r>
              <w:rPr>
                <w:noProof/>
                <w:webHidden/>
              </w:rPr>
              <w:t>17</w:t>
            </w:r>
            <w:r>
              <w:rPr>
                <w:noProof/>
                <w:webHidden/>
              </w:rPr>
              <w:fldChar w:fldCharType="end"/>
            </w:r>
          </w:hyperlink>
        </w:p>
        <w:p w14:paraId="0AA17CC2" w14:textId="450F4AF1" w:rsidR="00900872" w:rsidRDefault="00900872">
          <w:pPr>
            <w:pStyle w:val="Verzeichnis2"/>
            <w:tabs>
              <w:tab w:val="right" w:leader="dot" w:pos="9062"/>
            </w:tabs>
            <w:rPr>
              <w:rFonts w:eastAsiaTheme="minorEastAsia"/>
              <w:noProof/>
              <w:sz w:val="24"/>
              <w:szCs w:val="24"/>
              <w:lang w:eastAsia="de-AT"/>
            </w:rPr>
          </w:pPr>
          <w:hyperlink w:anchor="_Toc222739167" w:history="1">
            <w:r w:rsidRPr="008315DC">
              <w:rPr>
                <w:rStyle w:val="Hyperlink"/>
                <w:noProof/>
              </w:rPr>
              <w:t>4.9.1 Erreichte Ziele und Erfahrungen</w:t>
            </w:r>
            <w:r>
              <w:rPr>
                <w:noProof/>
                <w:webHidden/>
              </w:rPr>
              <w:tab/>
            </w:r>
            <w:r>
              <w:rPr>
                <w:noProof/>
                <w:webHidden/>
              </w:rPr>
              <w:fldChar w:fldCharType="begin"/>
            </w:r>
            <w:r>
              <w:rPr>
                <w:noProof/>
                <w:webHidden/>
              </w:rPr>
              <w:instrText xml:space="preserve"> PAGEREF _Toc222739167 \h </w:instrText>
            </w:r>
            <w:r>
              <w:rPr>
                <w:noProof/>
                <w:webHidden/>
              </w:rPr>
            </w:r>
            <w:r>
              <w:rPr>
                <w:noProof/>
                <w:webHidden/>
              </w:rPr>
              <w:fldChar w:fldCharType="separate"/>
            </w:r>
            <w:r>
              <w:rPr>
                <w:noProof/>
                <w:webHidden/>
              </w:rPr>
              <w:t>17</w:t>
            </w:r>
            <w:r>
              <w:rPr>
                <w:noProof/>
                <w:webHidden/>
              </w:rPr>
              <w:fldChar w:fldCharType="end"/>
            </w:r>
          </w:hyperlink>
        </w:p>
        <w:p w14:paraId="703BC7D6" w14:textId="78F92595" w:rsidR="00900872" w:rsidRDefault="00900872">
          <w:pPr>
            <w:pStyle w:val="Verzeichnis2"/>
            <w:tabs>
              <w:tab w:val="right" w:leader="dot" w:pos="9062"/>
            </w:tabs>
            <w:rPr>
              <w:rFonts w:eastAsiaTheme="minorEastAsia"/>
              <w:noProof/>
              <w:sz w:val="24"/>
              <w:szCs w:val="24"/>
              <w:lang w:eastAsia="de-AT"/>
            </w:rPr>
          </w:pPr>
          <w:hyperlink w:anchor="_Toc222739168" w:history="1">
            <w:r w:rsidRPr="008315DC">
              <w:rPr>
                <w:rStyle w:val="Hyperlink"/>
                <w:noProof/>
              </w:rPr>
              <w:t>4.9.2 Optimierungspotenzial und Ausblick</w:t>
            </w:r>
            <w:r>
              <w:rPr>
                <w:noProof/>
                <w:webHidden/>
              </w:rPr>
              <w:tab/>
            </w:r>
            <w:r>
              <w:rPr>
                <w:noProof/>
                <w:webHidden/>
              </w:rPr>
              <w:fldChar w:fldCharType="begin"/>
            </w:r>
            <w:r>
              <w:rPr>
                <w:noProof/>
                <w:webHidden/>
              </w:rPr>
              <w:instrText xml:space="preserve"> PAGEREF _Toc222739168 \h </w:instrText>
            </w:r>
            <w:r>
              <w:rPr>
                <w:noProof/>
                <w:webHidden/>
              </w:rPr>
            </w:r>
            <w:r>
              <w:rPr>
                <w:noProof/>
                <w:webHidden/>
              </w:rPr>
              <w:fldChar w:fldCharType="separate"/>
            </w:r>
            <w:r>
              <w:rPr>
                <w:noProof/>
                <w:webHidden/>
              </w:rPr>
              <w:t>17</w:t>
            </w:r>
            <w:r>
              <w:rPr>
                <w:noProof/>
                <w:webHidden/>
              </w:rPr>
              <w:fldChar w:fldCharType="end"/>
            </w:r>
          </w:hyperlink>
        </w:p>
        <w:p w14:paraId="406E40C6" w14:textId="3D251651" w:rsidR="00900872" w:rsidRDefault="00900872">
          <w:pPr>
            <w:pStyle w:val="Verzeichnis1"/>
            <w:tabs>
              <w:tab w:val="right" w:leader="dot" w:pos="9062"/>
            </w:tabs>
            <w:rPr>
              <w:rFonts w:eastAsiaTheme="minorEastAsia"/>
              <w:noProof/>
              <w:sz w:val="24"/>
              <w:szCs w:val="24"/>
              <w:lang w:eastAsia="de-AT"/>
            </w:rPr>
          </w:pPr>
          <w:hyperlink w:anchor="_Toc222739169" w:history="1">
            <w:r w:rsidRPr="008315DC">
              <w:rPr>
                <w:rStyle w:val="Hyperlink"/>
                <w:noProof/>
              </w:rPr>
              <w:t>5. Quellenverzeichnis</w:t>
            </w:r>
            <w:r>
              <w:rPr>
                <w:noProof/>
                <w:webHidden/>
              </w:rPr>
              <w:tab/>
            </w:r>
            <w:r>
              <w:rPr>
                <w:noProof/>
                <w:webHidden/>
              </w:rPr>
              <w:fldChar w:fldCharType="begin"/>
            </w:r>
            <w:r>
              <w:rPr>
                <w:noProof/>
                <w:webHidden/>
              </w:rPr>
              <w:instrText xml:space="preserve"> PAGEREF _Toc222739169 \h </w:instrText>
            </w:r>
            <w:r>
              <w:rPr>
                <w:noProof/>
                <w:webHidden/>
              </w:rPr>
            </w:r>
            <w:r>
              <w:rPr>
                <w:noProof/>
                <w:webHidden/>
              </w:rPr>
              <w:fldChar w:fldCharType="separate"/>
            </w:r>
            <w:r>
              <w:rPr>
                <w:noProof/>
                <w:webHidden/>
              </w:rPr>
              <w:t>18</w:t>
            </w:r>
            <w:r>
              <w:rPr>
                <w:noProof/>
                <w:webHidden/>
              </w:rPr>
              <w:fldChar w:fldCharType="end"/>
            </w:r>
          </w:hyperlink>
        </w:p>
        <w:p w14:paraId="60B7B249" w14:textId="72D676BF" w:rsidR="00900872" w:rsidRDefault="00900872">
          <w:pPr>
            <w:pStyle w:val="Verzeichnis1"/>
            <w:tabs>
              <w:tab w:val="right" w:leader="dot" w:pos="9062"/>
            </w:tabs>
            <w:rPr>
              <w:rFonts w:eastAsiaTheme="minorEastAsia"/>
              <w:noProof/>
              <w:sz w:val="24"/>
              <w:szCs w:val="24"/>
              <w:lang w:eastAsia="de-AT"/>
            </w:rPr>
          </w:pPr>
          <w:hyperlink w:anchor="_Toc222739170" w:history="1">
            <w:r w:rsidRPr="008315DC">
              <w:rPr>
                <w:rStyle w:val="Hyperlink"/>
                <w:noProof/>
              </w:rPr>
              <w:t>6. Abbildungsverzeichnis</w:t>
            </w:r>
            <w:r>
              <w:rPr>
                <w:noProof/>
                <w:webHidden/>
              </w:rPr>
              <w:tab/>
            </w:r>
            <w:r>
              <w:rPr>
                <w:noProof/>
                <w:webHidden/>
              </w:rPr>
              <w:fldChar w:fldCharType="begin"/>
            </w:r>
            <w:r>
              <w:rPr>
                <w:noProof/>
                <w:webHidden/>
              </w:rPr>
              <w:instrText xml:space="preserve"> PAGEREF _Toc222739170 \h </w:instrText>
            </w:r>
            <w:r>
              <w:rPr>
                <w:noProof/>
                <w:webHidden/>
              </w:rPr>
            </w:r>
            <w:r>
              <w:rPr>
                <w:noProof/>
                <w:webHidden/>
              </w:rPr>
              <w:fldChar w:fldCharType="separate"/>
            </w:r>
            <w:r>
              <w:rPr>
                <w:noProof/>
                <w:webHidden/>
              </w:rPr>
              <w:t>19</w:t>
            </w:r>
            <w:r>
              <w:rPr>
                <w:noProof/>
                <w:webHidden/>
              </w:rPr>
              <w:fldChar w:fldCharType="end"/>
            </w:r>
          </w:hyperlink>
        </w:p>
        <w:p w14:paraId="71A96FF6" w14:textId="023F89DE" w:rsidR="0076295C" w:rsidRPr="00C00A5B" w:rsidRDefault="00111D08" w:rsidP="008C6D28">
          <w:r>
            <w:rPr>
              <w:b/>
              <w:bCs/>
              <w:lang w:val="de-DE"/>
            </w:rPr>
            <w:fldChar w:fldCharType="end"/>
          </w:r>
        </w:p>
      </w:sdtContent>
    </w:sdt>
    <w:p w14:paraId="0A7169F9" w14:textId="3A1A511D" w:rsidR="00303B13" w:rsidRPr="00D95053" w:rsidRDefault="00303B13" w:rsidP="00303B13">
      <w:pPr>
        <w:pStyle w:val="berschrift1"/>
      </w:pPr>
      <w:bookmarkStart w:id="0" w:name="_Toc222739134"/>
      <w:r w:rsidRPr="00D95053">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52C86C93" w14:textId="3BF867F3" w:rsidR="00303B13" w:rsidRDefault="00303B13" w:rsidP="00C12FD9">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3CF0E092" w14:textId="77777777" w:rsidR="002070A3" w:rsidRDefault="002070A3" w:rsidP="00C12FD9">
      <w:pPr>
        <w:ind w:left="708"/>
        <w:jc w:val="both"/>
        <w:rPr>
          <w:rFonts w:cs="Arial"/>
        </w:rPr>
      </w:pPr>
    </w:p>
    <w:p w14:paraId="10CA6920" w14:textId="77777777" w:rsidR="002070A3" w:rsidRDefault="002070A3" w:rsidP="00C12FD9">
      <w:pPr>
        <w:ind w:left="708"/>
        <w:jc w:val="both"/>
        <w:rPr>
          <w:rFonts w:cs="Arial"/>
        </w:rPr>
      </w:pPr>
    </w:p>
    <w:p w14:paraId="6DFA2E53" w14:textId="77777777" w:rsidR="00303B13" w:rsidRPr="008C6D28" w:rsidRDefault="00303B13" w:rsidP="00303B13">
      <w:pPr>
        <w:pStyle w:val="berschrift2"/>
      </w:pPr>
      <w:bookmarkStart w:id="1" w:name="_Toc222739135"/>
      <w:r w:rsidRPr="008C6D28">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ardwareseitiges Lastmanagement: Der Victron MultiPlus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6D6F0440" w14:textId="77777777" w:rsidR="00B45E57" w:rsidRPr="00B45E57" w:rsidRDefault="00B45E57" w:rsidP="00B45E5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5E11E687" w14:textId="77777777" w:rsidR="00671816" w:rsidRDefault="00671816" w:rsidP="00303B13"/>
    <w:p w14:paraId="29D874C4" w14:textId="77777777" w:rsidR="002070A3" w:rsidRDefault="002070A3" w:rsidP="00303B13"/>
    <w:p w14:paraId="38363231" w14:textId="77777777" w:rsidR="003D6115" w:rsidRPr="003D6115" w:rsidRDefault="003D6115" w:rsidP="003D6115">
      <w:pPr>
        <w:pStyle w:val="berschrift1"/>
      </w:pPr>
      <w:bookmarkStart w:id="2" w:name="_Toc222739136"/>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739137"/>
      <w:r w:rsidRPr="00B36B76">
        <w:lastRenderedPageBreak/>
        <w:t>4.2.</w:t>
      </w:r>
      <w:r>
        <w:t>1</w:t>
      </w:r>
      <w:r w:rsidRPr="00B36B76">
        <w:t xml:space="preserve"> Kennlinien und Maximum Power Point Tracking</w:t>
      </w:r>
      <w:bookmarkEnd w:id="3"/>
    </w:p>
    <w:p w14:paraId="334B6160" w14:textId="4C53B34D" w:rsidR="00B5270D" w:rsidRDefault="00AA7ECF" w:rsidP="00602A75">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2DDA7486">
                <wp:simplePos x="0" y="0"/>
                <wp:positionH relativeFrom="margin">
                  <wp:posOffset>426720</wp:posOffset>
                </wp:positionH>
                <wp:positionV relativeFrom="paragraph">
                  <wp:posOffset>4883541</wp:posOffset>
                </wp:positionV>
                <wp:extent cx="5334000" cy="45910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459105"/>
                        </a:xfrm>
                        <a:prstGeom prst="rect">
                          <a:avLst/>
                        </a:prstGeom>
                        <a:solidFill>
                          <a:prstClr val="white"/>
                        </a:solidFill>
                        <a:ln>
                          <a:noFill/>
                        </a:ln>
                      </wps:spPr>
                      <wps:txbx>
                        <w:txbxContent>
                          <w:p w14:paraId="3F0F27CC" w14:textId="2FEC381C" w:rsidR="003D6115" w:rsidRPr="00B546EA" w:rsidRDefault="003D6115" w:rsidP="003D6115">
                            <w:pPr>
                              <w:pStyle w:val="Beschriftung"/>
                              <w:rPr>
                                <w:noProof/>
                              </w:rPr>
                            </w:pPr>
                            <w:bookmarkStart w:id="4" w:name="_Toc220424818"/>
                            <w:bookmarkStart w:id="5" w:name="_Toc222727222"/>
                            <w:r w:rsidRPr="00B546EA">
                              <w:t xml:space="preserve">Abbildung </w:t>
                            </w:r>
                            <w:r w:rsidRPr="00B546EA">
                              <w:fldChar w:fldCharType="begin"/>
                            </w:r>
                            <w:r w:rsidRPr="00B546EA">
                              <w:instrText xml:space="preserve"> SEQ Abbildung \* ARABIC </w:instrText>
                            </w:r>
                            <w:r w:rsidRPr="00B546EA">
                              <w:fldChar w:fldCharType="separate"/>
                            </w:r>
                            <w:r w:rsidR="004A13F8">
                              <w:rPr>
                                <w:noProof/>
                              </w:rPr>
                              <w:t>1</w:t>
                            </w:r>
                            <w:r w:rsidRPr="00B546EA">
                              <w:fldChar w:fldCharType="end"/>
                            </w:r>
                            <w:bookmarkEnd w:id="4"/>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3.6pt;margin-top:384.55pt;width:420pt;height:3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" stroked="f">
                <v:textbox inset="0,0,0,0">
                  <w:txbxContent>
                    <w:p w14:paraId="3F0F27CC" w14:textId="2FEC381C" w:rsidR="003D6115" w:rsidRPr="00B546EA" w:rsidRDefault="003D6115" w:rsidP="003D6115">
                      <w:pPr>
                        <w:pStyle w:val="Beschriftung"/>
                        <w:rPr>
                          <w:noProof/>
                        </w:rPr>
                      </w:pPr>
                      <w:bookmarkStart w:id="6" w:name="_Toc220424818"/>
                      <w:bookmarkStart w:id="7" w:name="_Toc222727222"/>
                      <w:r w:rsidRPr="00B546EA">
                        <w:t xml:space="preserve">Abbildung </w:t>
                      </w:r>
                      <w:r w:rsidRPr="00B546EA">
                        <w:fldChar w:fldCharType="begin"/>
                      </w:r>
                      <w:r w:rsidRPr="00B546EA">
                        <w:instrText xml:space="preserve"> SEQ Abbildung \* ARABIC </w:instrText>
                      </w:r>
                      <w:r w:rsidRPr="00B546EA">
                        <w:fldChar w:fldCharType="separate"/>
                      </w:r>
                      <w:r w:rsidR="004A13F8">
                        <w:rPr>
                          <w:noProof/>
                        </w:rPr>
                        <w:t>1</w:t>
                      </w:r>
                      <w:r w:rsidRPr="00B546EA">
                        <w:fldChar w:fldCharType="end"/>
                      </w:r>
                      <w:bookmarkEnd w:id="6"/>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7"/>
                    </w:p>
                  </w:txbxContent>
                </v:textbox>
                <w10:wrap type="topAndBottom" anchorx="margin"/>
              </v:shape>
            </w:pict>
          </mc:Fallback>
        </mc:AlternateContent>
      </w:r>
      <w:r w:rsidR="008D0CBA">
        <w:rPr>
          <w:noProof/>
        </w:rPr>
        <w:drawing>
          <wp:anchor distT="0" distB="0" distL="114300" distR="114300" simplePos="0" relativeHeight="251659264" behindDoc="0" locked="0" layoutInCell="1" allowOverlap="1" wp14:anchorId="083D971F" wp14:editId="2CC19C30">
            <wp:simplePos x="0" y="0"/>
            <wp:positionH relativeFrom="margin">
              <wp:align>center</wp:align>
            </wp:positionH>
            <wp:positionV relativeFrom="paragraph">
              <wp:posOffset>1368026</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0CBA" w:rsidRPr="008D0CBA">
        <w:rPr>
          <w:rFonts w:cs="Arial"/>
        </w:rPr>
        <w:t>Zur Beschreibung des elektrischen Betriebsverhaltens von Photovoltaik-Modulen werden Strom-Spannungs-Kennlinien herangezogen. Sie stellen den Zusammenhang zwischen abgegebener Spannung, Strom und der daraus resultierenden elektrischen Leistung dar und bilden die Grundlage für das Verständnis des optimalen Arbeitspunktes einer Solarzelle.</w:t>
      </w:r>
      <w:r w:rsidR="008D0CBA">
        <w:rPr>
          <w:rFonts w:cs="Arial"/>
        </w:rPr>
        <w:t xml:space="preserve"> </w:t>
      </w:r>
      <w:r w:rsidR="008D0CBA" w:rsidRPr="008D0CBA">
        <w:rPr>
          <w:rFonts w:cs="Arial"/>
        </w:rPr>
        <w:t>Die charakteristische Strom-Spannungs-Kennlinie (I-U-Kennlinie) sowie die daraus abgeleitete Leistungskennlinie (P-U-Kennlinie) einer Solarzelle sind in Abbildung 1 dargestellt.</w:t>
      </w:r>
    </w:p>
    <w:p w14:paraId="50E029BE" w14:textId="168A7ECC" w:rsidR="008D0CBA" w:rsidRPr="008D0CBA" w:rsidRDefault="008D0CBA" w:rsidP="00602A75">
      <w:pPr>
        <w:spacing w:before="240"/>
        <w:ind w:left="708"/>
        <w:jc w:val="both"/>
        <w:rPr>
          <w:rFonts w:cs="Arial"/>
        </w:rPr>
      </w:pPr>
      <w:r w:rsidRPr="008D0CBA">
        <w:rPr>
          <w:rFonts w:cs="Arial"/>
        </w:rPr>
        <w:t>Die Leistung einer Solarzelle ist nicht konstant, sondern hängt von der Spannung ab, bei der sie betrieben wird. Diese Abhängigkeit wird in der I-U-Kennlinie (Strom-Spannungs-Kennlinie) dargestellt (siehe Abbildung 1). Zusätzlich kann aus der I-U-Kennlinie die zugehörige Leistungskennlinie (P-U-Kennlinie) abgeleitet werden, indem das Produkt aus Strom und Spannung gebildet wir</w:t>
      </w:r>
      <w:r w:rsidR="002C429C">
        <w:rPr>
          <w:rFonts w:cs="Arial"/>
        </w:rPr>
        <w:t>d</w:t>
      </w:r>
      <w:r w:rsidRPr="008D0CBA">
        <w:rPr>
          <w:rFonts w:cs="Arial"/>
        </w:rPr>
        <w:t>. Dabei zeigt sich, dass es einen optimalen Arbeitspunkt gibt, an dem dieses Produkt – und damit die erzeugte elektrische Leistung – maximal ist. Dieser Punkt wird als Maximum Power Point (MPP) bezeichnet</w:t>
      </w:r>
      <w:r w:rsidR="000E550B">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Pr="008D0CBA">
        <w:rPr>
          <w:rFonts w:cs="Arial"/>
        </w:rPr>
        <w:t>.</w:t>
      </w:r>
    </w:p>
    <w:p w14:paraId="42AE51DD" w14:textId="259677B3" w:rsidR="008D0CBA" w:rsidRPr="008D0CBA" w:rsidRDefault="008D0CBA" w:rsidP="008D0CBA">
      <w:pPr>
        <w:ind w:left="708"/>
        <w:jc w:val="both"/>
        <w:rPr>
          <w:rFonts w:cs="Arial"/>
        </w:rPr>
      </w:pPr>
      <w:r w:rsidRPr="008D0CBA">
        <w:rPr>
          <w:rFonts w:cs="Arial"/>
        </w:rPr>
        <w:t>Der MPP verändert sich kontinuierlich in Abhängigkeit von äußeren Einflüssen wie Sonneneinstrahlung, Modultemperatur und Verschattung. Bei höherer Einstrahlung verschiebt sich der MPP zu höheren Stromwerten, während steigende Modultemperaturen zu einer Verringerung der optimalen Betriebsspannung führen</w:t>
      </w:r>
      <w:r w:rsidR="00043CFC">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Pr="008D0CBA">
        <w:rPr>
          <w:rFonts w:cs="Arial"/>
        </w:rPr>
        <w:t>.</w:t>
      </w:r>
      <w:r w:rsidR="0073192A" w:rsidRPr="008D0CBA">
        <w:rPr>
          <w:rFonts w:cs="Arial"/>
        </w:rPr>
        <w:t xml:space="preserve"> </w:t>
      </w:r>
    </w:p>
    <w:p w14:paraId="34875E15" w14:textId="1D5DA962" w:rsidR="008D0CBA" w:rsidRPr="008D0CBA" w:rsidRDefault="008D0CBA" w:rsidP="008D0CBA">
      <w:pPr>
        <w:ind w:left="708"/>
        <w:jc w:val="both"/>
        <w:rPr>
          <w:rFonts w:cs="Arial"/>
        </w:rPr>
      </w:pPr>
      <w:r w:rsidRPr="008D0CBA">
        <w:rPr>
          <w:rFonts w:cs="Arial"/>
        </w:rPr>
        <w:t xml:space="preserve">Hier kommt das Maximum Power Point Tracking (MPPT) zum Einsatz. Ein MPPT-Regler überwacht kontinuierlich die aktuelle Modulspannung und den Modulstrom und passt seinen Eingangswiderstand dynamisch an. Dies geschieht typischerweise durch Variation des Tastverhältnisses eines integrierten DC-DC-Wandlers, sodass der Betriebspunkt des PV-Moduls stets in der Nähe des MPP gehalten wird. Praktisch bedeutet dies, dass der </w:t>
      </w:r>
      <w:r w:rsidRPr="008D0CBA">
        <w:rPr>
          <w:rFonts w:cs="Arial"/>
        </w:rPr>
        <w:lastRenderedPageBreak/>
        <w:t>MPPT-Regler fortlaufend den Punkt maximaler Leistung ermittelt und seine Schaltregler-Elektronik entsprechend nachführt</w:t>
      </w:r>
      <w:r w:rsidR="00043CFC">
        <w:rPr>
          <w:rFonts w:cs="Arial"/>
        </w:rPr>
        <w:t xml:space="preserve">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Pr="008D0CBA">
        <w:rPr>
          <w:rFonts w:cs="Arial"/>
        </w:rPr>
        <w:t>.</w:t>
      </w:r>
      <w:r w:rsidR="0073192A" w:rsidRPr="008D0CBA">
        <w:rPr>
          <w:rFonts w:cs="Arial"/>
        </w:rPr>
        <w:t xml:space="preserve"> </w:t>
      </w:r>
    </w:p>
    <w:p w14:paraId="48311A74" w14:textId="78026E0B" w:rsidR="008D0CBA" w:rsidRPr="008D0CBA" w:rsidRDefault="008D0CBA" w:rsidP="008D0CBA">
      <w:pPr>
        <w:ind w:left="708"/>
        <w:jc w:val="both"/>
        <w:rPr>
          <w:rFonts w:cs="Arial"/>
        </w:rPr>
      </w:pPr>
      <w:r w:rsidRPr="008D0CBA">
        <w:rPr>
          <w:rFonts w:cs="Arial"/>
        </w:rPr>
        <w:t>Der im Projekt eingesetzte Victron MultiPlus verfügt über einen integrierten MPPT-Laderegler, der diese Aufgabe automatisch übernimmt. Im Vergleich zu einfachen Ladereglern ohne MPPT-Funktion kann dadurch – abhängig von Betriebsbedingungen und Systemauslegung – ein um bis zu 30 % höherer Energieertrag erzielt werden</w:t>
      </w:r>
      <w:r w:rsidR="00043CFC">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8" w:name="_Toc222739138"/>
      <w:r w:rsidRPr="004532AA">
        <w:rPr>
          <w:rFonts w:eastAsia="Times New Roman"/>
          <w:lang w:eastAsia="de-AT"/>
        </w:rPr>
        <w:t>4.2.2 Einfluss von Wetter und Jahreszeit</w:t>
      </w:r>
      <w:bookmarkEnd w:id="8"/>
    </w:p>
    <w:p w14:paraId="3B324A78" w14:textId="279A5C8D"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9" w:name="_Toc222739139"/>
      <w:r>
        <w:t>4.3 Systemauslegung und Dimensionierung</w:t>
      </w:r>
      <w:bookmarkEnd w:id="9"/>
    </w:p>
    <w:p w14:paraId="79F5093C" w14:textId="72EFE6BE" w:rsidR="00A21DAA" w:rsidRDefault="00CE38E4" w:rsidP="003D6115">
      <w:pPr>
        <w:ind w:left="708"/>
        <w:jc w:val="both"/>
        <w:rPr>
          <w:rFonts w:cs="Arial"/>
        </w:rPr>
      </w:pPr>
      <w:r>
        <w:rPr>
          <w:rFonts w:cs="Arial"/>
        </w:rPr>
        <w:t xml:space="preserve">Die </w:t>
      </w:r>
      <w:r w:rsidRPr="00CE38E4">
        <w:rPr>
          <w:rFonts w:cs="Arial"/>
        </w:rPr>
        <w:t>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MultiPlus mit externer Energie versorgt werden kann.</w:t>
      </w:r>
    </w:p>
    <w:p w14:paraId="14D2D3D1" w14:textId="2B70BA26" w:rsidR="00A21DAA" w:rsidRDefault="008C7E55" w:rsidP="008C7E55">
      <w:pPr>
        <w:pStyle w:val="berschrift2"/>
      </w:pPr>
      <w:bookmarkStart w:id="10" w:name="_Toc222739140"/>
      <w:r>
        <w:lastRenderedPageBreak/>
        <w:t>4.3.1 Ermittlung des Energiebedarfs</w:t>
      </w:r>
      <w:bookmarkEnd w:id="10"/>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7B4D719D" w:rsidR="00C67F4A" w:rsidRPr="00C67F4A" w:rsidRDefault="00C67F4A" w:rsidP="00C67F4A">
      <w:pPr>
        <w:numPr>
          <w:ilvl w:val="0"/>
          <w:numId w:val="6"/>
        </w:numPr>
        <w:tabs>
          <w:tab w:val="num" w:pos="720"/>
        </w:tabs>
        <w:spacing w:after="60"/>
        <w:jc w:val="both"/>
        <w:rPr>
          <w:rFonts w:cs="Arial"/>
        </w:rPr>
      </w:pPr>
      <w:r w:rsidRPr="00C67F4A">
        <w:rPr>
          <w:rFonts w:cs="Arial"/>
        </w:rPr>
        <w:t>Victron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SmartShunt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11" w:name="_Toc222739141"/>
      <w:r w:rsidRPr="008C7E55">
        <w:t>4.3.2 Berechnung der PV-Leistung und Batteriekapazität</w:t>
      </w:r>
      <w:bookmarkEnd w:id="11"/>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lastRenderedPageBreak/>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2" w:name="_Toc222739142"/>
      <w:r w:rsidRPr="009F1277">
        <w:t>4.3.3 Autonomiezeit und Worst-Case-Betrachtung</w:t>
      </w:r>
      <w:bookmarkEnd w:id="12"/>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25DC7418"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 43</w:t>
      </w:r>
      <w:r w:rsidR="00832FEE">
        <w:rPr>
          <w:rFonts w:cs="Arial"/>
        </w:rPr>
        <w:t> </w:t>
      </w:r>
      <w:r w:rsidRPr="009F1277">
        <w:rPr>
          <w:rFonts w:cs="Arial"/>
        </w:rPr>
        <w:t>% (reduzierter Betrieb)</w:t>
      </w:r>
    </w:p>
    <w:p w14:paraId="5CB45921" w14:textId="65D47F60" w:rsidR="009F1277" w:rsidRPr="009F1277" w:rsidRDefault="009F1277" w:rsidP="009F1277">
      <w:pPr>
        <w:numPr>
          <w:ilvl w:val="0"/>
          <w:numId w:val="12"/>
        </w:numPr>
        <w:tabs>
          <w:tab w:val="num" w:pos="720"/>
        </w:tabs>
        <w:spacing w:after="60"/>
        <w:jc w:val="both"/>
        <w:rPr>
          <w:rFonts w:cs="Arial"/>
        </w:rPr>
      </w:pPr>
      <w:r w:rsidRPr="009F1277">
        <w:rPr>
          <w:rFonts w:cs="Arial"/>
        </w:rPr>
        <w:t>Tag 2: Batterie 43</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MultiPlus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3" w:name="_Toc222739143"/>
      <w:r w:rsidRPr="00741E99">
        <w:t xml:space="preserve">4.4 </w:t>
      </w:r>
      <w:r w:rsidR="002070A3" w:rsidRPr="002070A3">
        <w:t>Auswahl der Systemkomponenten</w:t>
      </w:r>
      <w:bookmarkEnd w:id="13"/>
    </w:p>
    <w:p w14:paraId="6830179D" w14:textId="26227AA3"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und effizientes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4" w:name="_Toc222739144"/>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4"/>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xml:space="preserve">. Monokristalline Zellen erreichen einen </w:t>
      </w:r>
      <w:r w:rsidR="002070A3" w:rsidRPr="002070A3">
        <w:rPr>
          <w:rFonts w:cs="Arial"/>
        </w:rPr>
        <w:lastRenderedPageBreak/>
        <w:t>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5" w:name="_Toc222739145"/>
      <w:r w:rsidRPr="002B3A8B">
        <w:t>4.4.2 AGM Super Cycle Batterie 100</w:t>
      </w:r>
      <w:r w:rsidR="009266EB" w:rsidRPr="002B3A8B">
        <w:t> </w:t>
      </w:r>
      <w:r w:rsidRPr="002B3A8B">
        <w:t>Ah</w:t>
      </w:r>
      <w:bookmarkEnd w:id="15"/>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6" w:name="_Toc222739146"/>
      <w:r w:rsidRPr="00741E99">
        <w:t>4.4.3 Victron MultiPlus 12/800</w:t>
      </w:r>
      <w:bookmarkEnd w:id="16"/>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er MultiPlus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-Schnittstelle erlaubt die Kommunikation mit weiteren Victron-Geräten.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7" w:name="_Toc222739147"/>
      <w:r w:rsidRPr="00741E99">
        <w:t>4.4.4 Victron SmartShunt 500 A</w:t>
      </w:r>
      <w:bookmarkEnd w:id="17"/>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er SmartShunt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VDC, wodurch der SmartShunt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8" w:name="_Toc222739148"/>
      <w:r w:rsidRPr="00741E99">
        <w:t>4.4.5 Victron Orion 12/12-18</w:t>
      </w:r>
      <w:bookmarkEnd w:id="18"/>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xml:space="preserve">. Bei der Skalierung auf </w:t>
      </w:r>
      <w:r w:rsidR="002070A3" w:rsidRPr="002070A3">
        <w:rPr>
          <w:rFonts w:cs="Arial"/>
        </w:rPr>
        <w:lastRenderedPageBreak/>
        <w:t>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9" w:name="_Toc222739149"/>
      <w:r w:rsidRPr="00741E99">
        <w:rPr>
          <w:lang w:val="en-GB"/>
        </w:rPr>
        <w:t>4.4.6 Victron Cerbo GX und GX Touch 50</w:t>
      </w:r>
      <w:bookmarkEnd w:id="19"/>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Victron-Komponenten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20" w:name="_Toc222739150"/>
      <w:r w:rsidRPr="00741E99">
        <w:t>4.4.7 Verkabelung</w:t>
      </w:r>
      <w:r w:rsidR="002070A3">
        <w:t xml:space="preserve"> und Absicherung</w:t>
      </w:r>
      <w:bookmarkEnd w:id="20"/>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ür Hochstromverbindungen zwischen Batterie und MultiPlus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A) schützen vor Kurzschlüssen. Ringkabelschuhe M8 sichern die Verschraubung an Batterie und Victron-Geräten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21" w:name="_Toc222739151"/>
      <w:r w:rsidRPr="00040FB0">
        <w:t>4.5 Batterietechnologien im Vergleich</w:t>
      </w:r>
      <w:bookmarkEnd w:id="21"/>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2" w:name="_Toc222739152"/>
      <w:r w:rsidRPr="00040FB0">
        <w:t>4.5.1 Technische Eigenschaften der Batterietechnologien</w:t>
      </w:r>
      <w:bookmarkEnd w:id="22"/>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bieten eine höhere Tiefentladefestigkeit als AGM-Batterien und erreichen </w:t>
      </w:r>
      <w:r w:rsidRPr="00040FB0">
        <w:rPr>
          <w:rFonts w:cs="Arial"/>
        </w:rPr>
        <w:lastRenderedPageBreak/>
        <w:t>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3" w:name="_Toc222739153"/>
      <w:r w:rsidRPr="00040FB0">
        <w:t>4.5.2 Vergleich und Auswahlbegründung</w:t>
      </w:r>
      <w:bookmarkEnd w:id="23"/>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554362">
        <w:tc>
          <w:tcPr>
            <w:tcW w:w="2265" w:type="dxa"/>
            <w:tcBorders>
              <w:bottom w:val="single" w:sz="12" w:space="0" w:color="auto"/>
              <w:right w:val="single" w:sz="12" w:space="0" w:color="auto"/>
            </w:tcBorders>
            <w:shd w:val="clear" w:color="auto" w:fill="DAE9F7" w:themeFill="text2" w:themeFillTint="1A"/>
          </w:tcPr>
          <w:p w14:paraId="351BC78F" w14:textId="05EDB751" w:rsidR="009327E3" w:rsidRDefault="009327E3" w:rsidP="00906B7F">
            <w:pPr>
              <w:jc w:val="center"/>
              <w:rPr>
                <w:rFonts w:cs="Arial"/>
              </w:rPr>
            </w:pPr>
            <w:r>
              <w:rPr>
                <w:rFonts w:cs="Arial"/>
              </w:rPr>
              <w:t>Kriterium</w:t>
            </w:r>
          </w:p>
        </w:tc>
        <w:tc>
          <w:tcPr>
            <w:tcW w:w="2265" w:type="dxa"/>
            <w:tcBorders>
              <w:left w:val="single" w:sz="12" w:space="0" w:color="auto"/>
              <w:bottom w:val="single" w:sz="12" w:space="0" w:color="auto"/>
            </w:tcBorders>
            <w:shd w:val="clear" w:color="auto" w:fill="DAE9F7" w:themeFill="text2" w:themeFillTint="1A"/>
          </w:tcPr>
          <w:p w14:paraId="05C391D1" w14:textId="32F9F30B" w:rsidR="009327E3" w:rsidRDefault="009327E3" w:rsidP="00906B7F">
            <w:pPr>
              <w:jc w:val="center"/>
              <w:rPr>
                <w:rFonts w:cs="Arial"/>
              </w:rPr>
            </w:pPr>
            <w:r>
              <w:rPr>
                <w:rFonts w:cs="Arial"/>
              </w:rPr>
              <w:t>AGM</w:t>
            </w:r>
          </w:p>
        </w:tc>
        <w:tc>
          <w:tcPr>
            <w:tcW w:w="2266" w:type="dxa"/>
            <w:tcBorders>
              <w:bottom w:val="single" w:sz="12" w:space="0" w:color="auto"/>
            </w:tcBorders>
            <w:shd w:val="clear" w:color="auto" w:fill="DAE9F7" w:themeFill="text2" w:themeFillTint="1A"/>
          </w:tcPr>
          <w:p w14:paraId="3ABDC2BD" w14:textId="55627C61" w:rsidR="009327E3" w:rsidRDefault="009327E3" w:rsidP="00906B7F">
            <w:pPr>
              <w:jc w:val="center"/>
              <w:rPr>
                <w:rFonts w:cs="Arial"/>
              </w:rPr>
            </w:pPr>
            <w:r>
              <w:rPr>
                <w:rFonts w:cs="Arial"/>
              </w:rPr>
              <w:t>Gel</w:t>
            </w:r>
          </w:p>
        </w:tc>
        <w:tc>
          <w:tcPr>
            <w:tcW w:w="2266" w:type="dxa"/>
            <w:tcBorders>
              <w:bottom w:val="single" w:sz="12" w:space="0" w:color="auto"/>
            </w:tcBorders>
            <w:shd w:val="clear" w:color="auto" w:fill="DAE9F7" w:themeFill="text2" w:themeFillTint="1A"/>
          </w:tcPr>
          <w:p w14:paraId="1CE48EE6" w14:textId="7EC9347F" w:rsidR="009327E3" w:rsidRDefault="009327E3" w:rsidP="00906B7F">
            <w:pPr>
              <w:jc w:val="center"/>
              <w:rPr>
                <w:rFonts w:cs="Arial"/>
              </w:rPr>
            </w:pPr>
            <w:r>
              <w:rPr>
                <w:rFonts w:cs="Arial"/>
              </w:rPr>
              <w:t>LiFePO4</w:t>
            </w:r>
          </w:p>
        </w:tc>
      </w:tr>
      <w:tr w:rsidR="009327E3" w14:paraId="5366DA17" w14:textId="77777777" w:rsidTr="00554362">
        <w:tc>
          <w:tcPr>
            <w:tcW w:w="2265" w:type="dxa"/>
            <w:tcBorders>
              <w:top w:val="single" w:sz="12" w:space="0" w:color="auto"/>
              <w:right w:val="single" w:sz="12"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12" w:space="0" w:color="auto"/>
              <w:left w:val="single" w:sz="12"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12"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12"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554362">
        <w:tc>
          <w:tcPr>
            <w:tcW w:w="2265" w:type="dxa"/>
            <w:tcBorders>
              <w:right w:val="single" w:sz="12"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12"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554362">
        <w:tc>
          <w:tcPr>
            <w:tcW w:w="2265" w:type="dxa"/>
            <w:tcBorders>
              <w:right w:val="single" w:sz="12"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12"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554362">
        <w:tc>
          <w:tcPr>
            <w:tcW w:w="2265" w:type="dxa"/>
            <w:tcBorders>
              <w:right w:val="single" w:sz="12"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12"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554362">
        <w:tc>
          <w:tcPr>
            <w:tcW w:w="2265" w:type="dxa"/>
            <w:tcBorders>
              <w:right w:val="single" w:sz="12"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12"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554362">
        <w:tc>
          <w:tcPr>
            <w:tcW w:w="2265" w:type="dxa"/>
            <w:tcBorders>
              <w:right w:val="single" w:sz="12"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12"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554362">
        <w:tc>
          <w:tcPr>
            <w:tcW w:w="2265" w:type="dxa"/>
            <w:tcBorders>
              <w:right w:val="single" w:sz="12"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12" w:space="0" w:color="auto"/>
            </w:tcBorders>
          </w:tcPr>
          <w:p w14:paraId="2C66A7AA" w14:textId="481E734B" w:rsidR="00105ED7" w:rsidRDefault="00105ED7" w:rsidP="00105ED7">
            <w:pPr>
              <w:jc w:val="center"/>
              <w:rPr>
                <w:rFonts w:cs="Arial"/>
              </w:rPr>
            </w:pPr>
            <w:r>
              <w:rPr>
                <w:rFonts w:cs="Arial"/>
              </w:rPr>
              <w:t>Ja (-20 bis +40 °C)</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554362">
        <w:tc>
          <w:tcPr>
            <w:tcW w:w="2265" w:type="dxa"/>
            <w:tcBorders>
              <w:right w:val="single" w:sz="12"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12"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554362">
        <w:tc>
          <w:tcPr>
            <w:tcW w:w="2265" w:type="dxa"/>
            <w:tcBorders>
              <w:right w:val="single" w:sz="12"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12"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105ED7">
            <w:pPr>
              <w:jc w:val="center"/>
              <w:rPr>
                <w:rFonts w:cs="Arial"/>
              </w:rPr>
            </w:pPr>
            <w:r>
              <w:rPr>
                <w:rFonts w:cs="Arial"/>
              </w:rPr>
              <w:t>Ja</w:t>
            </w:r>
          </w:p>
        </w:tc>
      </w:tr>
    </w:tbl>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3B1A6DCE"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w:t>
      </w:r>
      <w:r w:rsidRPr="004C7082">
        <w:rPr>
          <w:rFonts w:cs="Arial"/>
        </w:rPr>
        <w:lastRenderedPageBreak/>
        <w:t xml:space="preserve">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222C03">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222C03">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222C03">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858A6CF" w:rsidR="004C7082" w:rsidRPr="00363126" w:rsidRDefault="00363126" w:rsidP="00B1674E">
      <w:pPr>
        <w:jc w:val="both"/>
        <w:rPr>
          <w:rStyle w:val="berschrift1Zchn"/>
        </w:rPr>
      </w:pPr>
      <w:bookmarkStart w:id="24" w:name="_Toc222739154"/>
      <w:r w:rsidRPr="00363126">
        <w:rPr>
          <w:rStyle w:val="berschrift1Zchn"/>
        </w:rPr>
        <w:t>4.6 Integration und Konfiguration des Victron-Energ</w:t>
      </w:r>
      <w:r>
        <w:rPr>
          <w:rStyle w:val="berschrift1Zchn"/>
        </w:rPr>
        <w:t>y</w:t>
      </w:r>
      <w:r w:rsidRPr="00363126">
        <w:rPr>
          <w:rStyle w:val="berschrift1Zchn"/>
        </w:rPr>
        <w:t>-Monitoring</w:t>
      </w:r>
      <w:r>
        <w:rPr>
          <w:rStyle w:val="berschrift1Zchn"/>
        </w:rPr>
        <w:t>-S</w:t>
      </w:r>
      <w:r w:rsidRPr="00363126">
        <w:rPr>
          <w:rStyle w:val="berschrift1Zchn"/>
        </w:rPr>
        <w:t>ystems</w:t>
      </w:r>
      <w:bookmarkEnd w:id="24"/>
    </w:p>
    <w:p w14:paraId="4A370675" w14:textId="51EB9953" w:rsidR="00310E86" w:rsidRDefault="00060741" w:rsidP="00A871F4">
      <w:pPr>
        <w:ind w:left="708"/>
        <w:jc w:val="both"/>
        <w:rPr>
          <w:rFonts w:cs="Arial"/>
        </w:rPr>
      </w:pPr>
      <w:r w:rsidRPr="00060741">
        <w:rPr>
          <w:rFonts w:cs="Arial"/>
        </w:rPr>
        <w:t>Für die Überwachung des hybriden 12-V-Energiesystems wurde der Cerbo GX von Victron Energy als zentrale Monitoring-Einheit gewählt. Er verbindet den SmartShunt 500</w:t>
      </w:r>
      <w:r w:rsidR="00105A36">
        <w:rPr>
          <w:rFonts w:cs="Arial"/>
        </w:rPr>
        <w:t> </w:t>
      </w:r>
      <w:r w:rsidRPr="00060741">
        <w:rPr>
          <w:rFonts w:cs="Arial"/>
        </w:rPr>
        <w:t>A und den MultiPlus 12/800 über gerätespezifische Schnittstellen und stellt die erfassten Messdaten lokal sowie über das Netzwerk bereit.</w:t>
      </w:r>
    </w:p>
    <w:p w14:paraId="122065E5" w14:textId="1763F640" w:rsidR="00B1674E" w:rsidRDefault="00B1674E" w:rsidP="00B1674E">
      <w:pPr>
        <w:pStyle w:val="berschrift2"/>
      </w:pPr>
      <w:bookmarkStart w:id="25" w:name="_Toc222739155"/>
      <w:r>
        <w:t>4.6.1 Systemarchitektur und Kommunikationsschnittstellen</w:t>
      </w:r>
      <w:bookmarkEnd w:id="25"/>
    </w:p>
    <w:p w14:paraId="2B469665" w14:textId="77777777" w:rsidR="00060741" w:rsidRPr="00060741" w:rsidRDefault="00060741" w:rsidP="00060741">
      <w:pPr>
        <w:ind w:left="708"/>
        <w:jc w:val="both"/>
        <w:rPr>
          <w:rFonts w:cs="Arial"/>
        </w:rPr>
      </w:pPr>
      <w:r w:rsidRPr="00060741">
        <w:rPr>
          <w:rFonts w:cs="Arial"/>
        </w:rPr>
        <w:t xml:space="preserve">Die Anbindung der Systemkomponenten erfolgt über zwei gerätespezifische Schnittstellen: </w:t>
      </w:r>
      <w:proofErr w:type="spellStart"/>
      <w:r w:rsidRPr="00060741">
        <w:rPr>
          <w:rFonts w:cs="Arial"/>
        </w:rPr>
        <w:t>VE.Direct</w:t>
      </w:r>
      <w:proofErr w:type="spellEnd"/>
      <w:r w:rsidRPr="00060741">
        <w:rPr>
          <w:rFonts w:cs="Arial"/>
        </w:rPr>
        <w:t xml:space="preserve"> und </w:t>
      </w:r>
      <w:proofErr w:type="spellStart"/>
      <w:r w:rsidRPr="00060741">
        <w:rPr>
          <w:rFonts w:cs="Arial"/>
        </w:rPr>
        <w:t>VE.Bus</w:t>
      </w:r>
      <w:proofErr w:type="spellEnd"/>
      <w:r w:rsidRPr="00060741">
        <w:rPr>
          <w:rFonts w:cs="Arial"/>
        </w:rPr>
        <w:t>.</w:t>
      </w:r>
    </w:p>
    <w:p w14:paraId="4E047044" w14:textId="1E47FB04" w:rsidR="00060741" w:rsidRPr="00060741" w:rsidRDefault="00060741" w:rsidP="00060741">
      <w:pPr>
        <w:ind w:left="708"/>
        <w:jc w:val="both"/>
        <w:rPr>
          <w:rFonts w:cs="Arial"/>
        </w:rPr>
      </w:pPr>
      <w:r w:rsidRPr="00060741">
        <w:rPr>
          <w:rFonts w:cs="Arial"/>
        </w:rPr>
        <w:t>Der SmartShunt 500</w:t>
      </w:r>
      <w:r w:rsidR="00105A36">
        <w:rPr>
          <w:rFonts w:cs="Arial"/>
        </w:rPr>
        <w:t> </w:t>
      </w:r>
      <w:r w:rsidRPr="00060741">
        <w:rPr>
          <w:rFonts w:cs="Arial"/>
        </w:rPr>
        <w:t xml:space="preserve">A ist über </w:t>
      </w:r>
      <w:proofErr w:type="spellStart"/>
      <w:r w:rsidRPr="00060741">
        <w:rPr>
          <w:rFonts w:cs="Arial"/>
        </w:rPr>
        <w:t>VE.Direct</w:t>
      </w:r>
      <w:proofErr w:type="spellEnd"/>
      <w:r w:rsidRPr="00060741">
        <w:rPr>
          <w:rFonts w:cs="Arial"/>
        </w:rPr>
        <w:t xml:space="preserve"> angebunden. Über diese Punkt-zu-Punkt-Schnittstelle werden ausschließlich Batteriedaten wie Spannung, Strom und Ladezustand an den Cerbo GX übertragen</w:t>
      </w:r>
      <w:r w:rsidR="00222C03">
        <w:rPr>
          <w:rFonts w:cs="Arial"/>
        </w:rPr>
        <w:t xml:space="preserve"> </w:t>
      </w:r>
      <w:r w:rsidR="00222C03">
        <w:rPr>
          <w:rFonts w:cs="Arial"/>
        </w:rPr>
        <w:fldChar w:fldCharType="begin"/>
      </w:r>
      <w:r w:rsidR="00222C03">
        <w:rPr>
          <w:rFonts w:cs="Arial"/>
        </w:rPr>
        <w:instrText xml:space="preserve"> ADDIN ZOTERO_ITEM CSL_CITATION {"citationID":"QvEkLOot","properties":{"formattedCitation":"[7], [15]","plainCitation":"[7], [15]","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sidR="00222C03">
        <w:rPr>
          <w:rFonts w:cs="Arial"/>
        </w:rPr>
        <w:fldChar w:fldCharType="separate"/>
      </w:r>
      <w:r w:rsidR="00222C03" w:rsidRPr="00222C03">
        <w:rPr>
          <w:rFonts w:ascii="Aptos" w:hAnsi="Aptos"/>
        </w:rPr>
        <w:t>[7][15]</w:t>
      </w:r>
      <w:r w:rsidR="00222C03">
        <w:rPr>
          <w:rFonts w:cs="Arial"/>
        </w:rPr>
        <w:fldChar w:fldCharType="end"/>
      </w:r>
      <w:r w:rsidRPr="00060741">
        <w:rPr>
          <w:rFonts w:cs="Arial"/>
        </w:rPr>
        <w:t xml:space="preserve">. Der Cerbo GX verfügt über drei galvanisch isolierte </w:t>
      </w:r>
      <w:proofErr w:type="spellStart"/>
      <w:r w:rsidRPr="00060741">
        <w:rPr>
          <w:rFonts w:cs="Arial"/>
        </w:rPr>
        <w:t>VE.Direct</w:t>
      </w:r>
      <w:proofErr w:type="spellEnd"/>
      <w:r w:rsidRPr="00060741">
        <w:rPr>
          <w:rFonts w:cs="Arial"/>
        </w:rPr>
        <w:t>-Anschlüsse</w:t>
      </w:r>
      <w:r w:rsidR="000C768E">
        <w:rPr>
          <w:rFonts w:cs="Arial"/>
        </w:rPr>
        <w:t>, d</w:t>
      </w:r>
      <w:r w:rsidR="000C768E" w:rsidRPr="000C768E">
        <w:rPr>
          <w:rFonts w:cs="Arial"/>
        </w:rPr>
        <w:t xml:space="preserve">ie galvanische Isolation dient der störungsarmen Signalübertragung </w:t>
      </w:r>
      <w:r w:rsidR="00222C03">
        <w:rPr>
          <w:rFonts w:cs="Arial"/>
        </w:rPr>
        <w:fldChar w:fldCharType="begin"/>
      </w:r>
      <w:r w:rsidR="00222C03">
        <w:rPr>
          <w:rFonts w:cs="Arial"/>
        </w:rPr>
        <w:instrText xml:space="preserve"> ADDIN ZOTERO_ITEM CSL_CITATION {"citationID":"SmGrxdmf","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1B53B6CC" w14:textId="5F9D2F69" w:rsidR="00060741" w:rsidRPr="00060741" w:rsidRDefault="00060741" w:rsidP="00060741">
      <w:pPr>
        <w:ind w:left="708"/>
        <w:jc w:val="both"/>
        <w:rPr>
          <w:rFonts w:cs="Arial"/>
        </w:rPr>
      </w:pPr>
      <w:r w:rsidRPr="00060741">
        <w:rPr>
          <w:rFonts w:cs="Arial"/>
        </w:rPr>
        <w:t xml:space="preserve">Der MultiPlus 12/800 ist über </w:t>
      </w:r>
      <w:proofErr w:type="spellStart"/>
      <w:r w:rsidRPr="00060741">
        <w:rPr>
          <w:rFonts w:cs="Arial"/>
        </w:rPr>
        <w:t>VE.Bus</w:t>
      </w:r>
      <w:proofErr w:type="spellEnd"/>
      <w:r w:rsidRPr="00060741">
        <w:rPr>
          <w:rFonts w:cs="Arial"/>
        </w:rPr>
        <w:t xml:space="preserve"> angebunden. </w:t>
      </w:r>
      <w:proofErr w:type="spellStart"/>
      <w:r w:rsidRPr="00060741">
        <w:rPr>
          <w:rFonts w:cs="Arial"/>
        </w:rPr>
        <w:t>VE.Bus</w:t>
      </w:r>
      <w:proofErr w:type="spellEnd"/>
      <w:r w:rsidRPr="00060741">
        <w:rPr>
          <w:rFonts w:cs="Arial"/>
        </w:rPr>
        <w:t xml:space="preserve"> ist das Protokoll, über das Wechselrichter und Ladegeräte ihre AC-Ausgänge synchronisieren und mit der Monitoring-Einheit kommunizieren </w:t>
      </w:r>
      <w:r w:rsidR="00222C03">
        <w:rPr>
          <w:rFonts w:cs="Arial"/>
        </w:rPr>
        <w:fldChar w:fldCharType="begin"/>
      </w:r>
      <w:r w:rsidR="00222C03">
        <w:rPr>
          <w:rFonts w:cs="Arial"/>
        </w:rPr>
        <w:instrText xml:space="preserve"> ADDIN ZOTERO_ITEM CSL_CITATION {"citationID":"KkOvjvxC","properties":{"formattedCitation":"[15]","plainCitation":"[15]","noteIndex":0},"citationItems":[{"id":42,"uris":["http://zotero.org/groups/6046789/items/CWRHRLPC"],"itemData":{"id":42,"type":"article-journal","language":"de","source":"Zotero","title":"Datenkommunikation mit Victron Energy Produkten","author":[{"family":"Vader","given":"Matthijs"}]}}],"schema":"https://github.com/citation-style-language/schema/raw/master/csl-citation.json"} </w:instrText>
      </w:r>
      <w:r w:rsidR="00222C03">
        <w:rPr>
          <w:rFonts w:cs="Arial"/>
        </w:rPr>
        <w:fldChar w:fldCharType="separate"/>
      </w:r>
      <w:r w:rsidR="00222C03" w:rsidRPr="00222C03">
        <w:rPr>
          <w:rFonts w:ascii="Aptos" w:hAnsi="Aptos"/>
        </w:rPr>
        <w:t>[15]</w:t>
      </w:r>
      <w:r w:rsidR="00222C03">
        <w:rPr>
          <w:rFonts w:cs="Arial"/>
        </w:rPr>
        <w:fldChar w:fldCharType="end"/>
      </w:r>
      <w:r w:rsidRPr="00060741">
        <w:rPr>
          <w:rFonts w:cs="Arial"/>
        </w:rPr>
        <w:t xml:space="preserve">. Im Unterschied zu </w:t>
      </w:r>
      <w:proofErr w:type="spellStart"/>
      <w:r w:rsidRPr="00060741">
        <w:rPr>
          <w:rFonts w:cs="Arial"/>
        </w:rPr>
        <w:t>VE.Direct</w:t>
      </w:r>
      <w:proofErr w:type="spellEnd"/>
      <w:r w:rsidRPr="00060741">
        <w:rPr>
          <w:rFonts w:cs="Arial"/>
        </w:rPr>
        <w:t xml:space="preserve"> überträgt </w:t>
      </w:r>
      <w:proofErr w:type="spellStart"/>
      <w:r w:rsidRPr="00060741">
        <w:rPr>
          <w:rFonts w:cs="Arial"/>
        </w:rPr>
        <w:t>VE.Bus</w:t>
      </w:r>
      <w:proofErr w:type="spellEnd"/>
      <w:r w:rsidRPr="00060741">
        <w:rPr>
          <w:rFonts w:cs="Arial"/>
        </w:rPr>
        <w:t xml:space="preserve"> keine Batterierohwerte, sondern Gerätezustände: Wechselrichter- und Ladebetrieb, Netzstatus sowie Eingangsstrombegrenzung. Der </w:t>
      </w:r>
      <w:proofErr w:type="spellStart"/>
      <w:r w:rsidRPr="00060741">
        <w:rPr>
          <w:rFonts w:cs="Arial"/>
        </w:rPr>
        <w:t>VE.Bus</w:t>
      </w:r>
      <w:proofErr w:type="spellEnd"/>
      <w:r w:rsidRPr="00060741">
        <w:rPr>
          <w:rFonts w:cs="Arial"/>
        </w:rPr>
        <w:t xml:space="preserve">-Anschluss des Cerbo GX besteht aus zwei parallel geschalteten, galvanisch isolierten RJ45-Buchsen </w:t>
      </w:r>
      <w:r w:rsidR="00222C03">
        <w:rPr>
          <w:rFonts w:cs="Arial"/>
        </w:rPr>
        <w:fldChar w:fldCharType="begin"/>
      </w:r>
      <w:r w:rsidR="00222C03">
        <w:rPr>
          <w:rFonts w:cs="Arial"/>
        </w:rPr>
        <w:instrText xml:space="preserve"> ADDIN ZOTERO_ITEM CSL_CITATION {"citationID":"ZkY9wGGg","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7678BAAE" w14:textId="4FB25019" w:rsidR="000D119C" w:rsidRPr="000D119C" w:rsidRDefault="00060741" w:rsidP="00060741">
      <w:pPr>
        <w:ind w:left="708"/>
        <w:jc w:val="both"/>
        <w:rPr>
          <w:rFonts w:cs="Arial"/>
        </w:rPr>
      </w:pPr>
      <w:r w:rsidRPr="00060741">
        <w:rPr>
          <w:rFonts w:cs="Arial"/>
        </w:rPr>
        <w:t xml:space="preserve">Für die externe Datenkommunikation verfügt der Cerbo GX über einen 10/100-RJ45-Ethernet-Anschluss sowie integriertes WLAN </w:t>
      </w:r>
      <w:r w:rsidR="00222C03">
        <w:rPr>
          <w:rFonts w:cs="Arial"/>
        </w:rPr>
        <w:fldChar w:fldCharType="begin"/>
      </w:r>
      <w:r w:rsidR="00222C03">
        <w:rPr>
          <w:rFonts w:cs="Arial"/>
        </w:rPr>
        <w:instrText xml:space="preserve"> ADDIN ZOTERO_ITEM CSL_CITATION {"citationID":"g5kGsJWd","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 xml:space="preserve">. Zur Datenbereitstellung wird MQTT genutzt, da dieses Protokoll eine einfachere Integration in die vorhandene Flutter-App ermöglicht als Modbus-TCP. Der Cerbo GX unterstützt Modbus-TCP zwar ebenfalls als </w:t>
      </w:r>
      <w:r w:rsidRPr="00060741">
        <w:rPr>
          <w:rFonts w:cs="Arial"/>
        </w:rPr>
        <w:lastRenderedPageBreak/>
        <w:t>standardisiertes Industrieprotokoll mit definierten Registeradressen</w:t>
      </w:r>
      <w:r w:rsidR="00222C03">
        <w:rPr>
          <w:rFonts w:cs="Arial"/>
        </w:rPr>
        <w:t xml:space="preserve"> </w:t>
      </w:r>
      <w:r w:rsidR="00222C03">
        <w:rPr>
          <w:rFonts w:cs="Arial"/>
        </w:rPr>
        <w:fldChar w:fldCharType="begin"/>
      </w:r>
      <w:r w:rsidR="00222C03">
        <w:rPr>
          <w:rFonts w:cs="Arial"/>
        </w:rPr>
        <w:instrText xml:space="preserve"> ADDIN ZOTERO_ITEM CSL_CITATION {"citationID":"v1zSDa8M","properties":{"formattedCitation":"[16]","plainCitation":"[16]","noteIndex":0},"citationItems":[{"id":43,"uris":["http://zotero.org/groups/6046789/items/Q89FY32W"],"itemData":{"id":43,"type":"webpage","title":"GX Modbus-TCP Manual [Victron Energy]","URL":"https://www.victronenergy.com/live/ccgx:modbustcp_faq","accessed":{"date-parts":[["2026",2,19]]}}}],"schema":"https://github.com/citation-style-language/schema/raw/master/csl-citation.json"} </w:instrText>
      </w:r>
      <w:r w:rsidR="00222C03">
        <w:rPr>
          <w:rFonts w:cs="Arial"/>
        </w:rPr>
        <w:fldChar w:fldCharType="separate"/>
      </w:r>
      <w:r w:rsidR="00222C03" w:rsidRPr="00222C03">
        <w:rPr>
          <w:rFonts w:ascii="Aptos" w:hAnsi="Aptos"/>
        </w:rPr>
        <w:t>[16]</w:t>
      </w:r>
      <w:r w:rsidR="00222C03">
        <w:rPr>
          <w:rFonts w:cs="Arial"/>
        </w:rPr>
        <w:fldChar w:fldCharType="end"/>
      </w:r>
      <w:r w:rsidRPr="00060741">
        <w:rPr>
          <w:rFonts w:cs="Arial"/>
        </w:rPr>
        <w:t>, jedoch wurde es für dieses System nicht aktiviert.</w:t>
      </w:r>
    </w:p>
    <w:p w14:paraId="333558A8" w14:textId="55E96947" w:rsidR="00D64B2E" w:rsidRPr="00D64B2E" w:rsidRDefault="00D64B2E" w:rsidP="000D119C">
      <w:pPr>
        <w:pStyle w:val="berschrift2"/>
      </w:pPr>
      <w:bookmarkStart w:id="26" w:name="_Toc222739156"/>
      <w:r w:rsidRPr="00D64B2E">
        <w:t>4.6.2 Cerbo GX als zentrale Monitoring-Einheit</w:t>
      </w:r>
      <w:bookmarkEnd w:id="26"/>
    </w:p>
    <w:p w14:paraId="68DA2D24" w14:textId="3F78C043" w:rsidR="00D64B2E" w:rsidRPr="00D64B2E" w:rsidRDefault="00BB1C15" w:rsidP="00BB1C15">
      <w:pPr>
        <w:ind w:left="708"/>
        <w:jc w:val="both"/>
        <w:rPr>
          <w:rFonts w:cs="Arial"/>
        </w:rPr>
      </w:pPr>
      <w:r w:rsidRPr="00BB1C15">
        <w:rPr>
          <w:rFonts w:cs="Arial"/>
        </w:rPr>
        <w:t>Der Cerbo GX erfasst kontinuierlich alle energierelevanten Messgrößen des Systems: Batteriespannung, -strom, Ladezustand, PV-Leistung, Netzbezug sowie den Betriebszustand des MultiPlus. Die Versorgungsspannung liegt im Bereich von 8 bis 70</w:t>
      </w:r>
      <w:r w:rsidR="00105A36">
        <w:rPr>
          <w:rFonts w:cs="Arial"/>
        </w:rPr>
        <w:t> </w:t>
      </w:r>
      <w:r w:rsidRPr="00BB1C15">
        <w:rPr>
          <w:rFonts w:cs="Arial"/>
        </w:rPr>
        <w:t>V</w:t>
      </w:r>
      <w:r w:rsidR="00105A36">
        <w:rPr>
          <w:rFonts w:cs="Arial"/>
        </w:rPr>
        <w:t> </w:t>
      </w:r>
      <w:r w:rsidRPr="00BB1C15">
        <w:rPr>
          <w:rFonts w:cs="Arial"/>
        </w:rPr>
        <w:t>DC, wodurch eine direkte Einspeisung aus dem 12-V-Systembus möglich ist. Die Leistungsaufnahme beträgt 2,8</w:t>
      </w:r>
      <w:r w:rsidR="00105A36">
        <w:rPr>
          <w:rFonts w:cs="Arial"/>
        </w:rPr>
        <w:t> </w:t>
      </w:r>
      <w:r w:rsidRPr="00BB1C15">
        <w:rPr>
          <w:rFonts w:cs="Arial"/>
        </w:rPr>
        <w:t>W bei 12</w:t>
      </w:r>
      <w:r w:rsidR="00105A36">
        <w:rPr>
          <w:rFonts w:cs="Arial"/>
        </w:rPr>
        <w:t> </w:t>
      </w:r>
      <w:r w:rsidRPr="00BB1C15">
        <w:rPr>
          <w:rFonts w:cs="Arial"/>
        </w:rPr>
        <w:t>V ohne Display, mit dem GX Touch 50 steigt sie auf 3,8</w:t>
      </w:r>
      <w:r w:rsidR="00105A36">
        <w:rPr>
          <w:rFonts w:cs="Arial"/>
        </w:rPr>
        <w:t> </w:t>
      </w:r>
      <w:r w:rsidRPr="00BB1C15">
        <w:rPr>
          <w:rFonts w:cs="Arial"/>
        </w:rPr>
        <w:t>W bzw. bis zu 4,8</w:t>
      </w:r>
      <w:r w:rsidR="00105A36">
        <w:rPr>
          <w:rFonts w:cs="Arial"/>
        </w:rPr>
        <w:t> </w:t>
      </w:r>
      <w:r w:rsidRPr="00BB1C15">
        <w:rPr>
          <w:rFonts w:cs="Arial"/>
        </w:rPr>
        <w:t xml:space="preserve">W bei maximaler Helligkeit </w:t>
      </w:r>
      <w:r w:rsidR="00222C03">
        <w:rPr>
          <w:rFonts w:cs="Arial"/>
        </w:rPr>
        <w:fldChar w:fldCharType="begin"/>
      </w:r>
      <w:r w:rsidR="00222C03">
        <w:rPr>
          <w:rFonts w:cs="Arial"/>
        </w:rPr>
        <w:instrText xml:space="preserve"> ADDIN ZOTERO_ITEM CSL_CITATION {"citationID":"g2WcC45E","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BB1C15">
        <w:rPr>
          <w:rFonts w:cs="Arial"/>
        </w:rPr>
        <w:t xml:space="preserve">. Die lokale Visualisierung erfolgt über den </w:t>
      </w:r>
      <w:proofErr w:type="gramStart"/>
      <w:r w:rsidRPr="00BB1C15">
        <w:rPr>
          <w:rFonts w:cs="Arial"/>
        </w:rPr>
        <w:t>GX Touch</w:t>
      </w:r>
      <w:proofErr w:type="gramEnd"/>
      <w:r w:rsidRPr="00BB1C15">
        <w:rPr>
          <w:rFonts w:cs="Arial"/>
        </w:rPr>
        <w:t xml:space="preserve"> 50.</w:t>
      </w:r>
    </w:p>
    <w:p w14:paraId="1502BE49" w14:textId="77777777" w:rsidR="00D64B2E" w:rsidRPr="00D64B2E" w:rsidRDefault="00D64B2E" w:rsidP="00686CB9">
      <w:pPr>
        <w:pStyle w:val="berschrift2"/>
      </w:pPr>
      <w:bookmarkStart w:id="27" w:name="_Toc222739157"/>
      <w:r w:rsidRPr="00D64B2E">
        <w:t>4.6.3 Hardwareseitiges Lastmanagement im MultiPlus</w:t>
      </w:r>
      <w:bookmarkEnd w:id="27"/>
    </w:p>
    <w:p w14:paraId="193B3302" w14:textId="44066F88" w:rsidR="00D64B2E" w:rsidRPr="00D64B2E" w:rsidRDefault="00BB1C15" w:rsidP="00686CB9">
      <w:pPr>
        <w:ind w:left="708"/>
        <w:jc w:val="both"/>
        <w:rPr>
          <w:rFonts w:cs="Arial"/>
        </w:rPr>
      </w:pPr>
      <w:r w:rsidRPr="00BB1C15">
        <w:rPr>
          <w:rFonts w:cs="Arial"/>
        </w:rPr>
        <w:t xml:space="preserve">Das Lastmanagement wird hardwareseitig durch den MultiPlus 12/800 realisiert. Konfiguriert wurde er mit den von Victron Energy vorgesehenen Tools </w:t>
      </w:r>
      <w:proofErr w:type="spellStart"/>
      <w:r w:rsidRPr="00BB1C15">
        <w:rPr>
          <w:rFonts w:cs="Arial"/>
        </w:rPr>
        <w:t>VictronConnect</w:t>
      </w:r>
      <w:proofErr w:type="spellEnd"/>
      <w:r w:rsidRPr="00BB1C15">
        <w:rPr>
          <w:rFonts w:cs="Arial"/>
        </w:rPr>
        <w:t xml:space="preserve"> und </w:t>
      </w:r>
      <w:proofErr w:type="spellStart"/>
      <w:r w:rsidRPr="00BB1C15">
        <w:rPr>
          <w:rFonts w:cs="Arial"/>
        </w:rPr>
        <w:t>VE.Configure</w:t>
      </w:r>
      <w:proofErr w:type="spellEnd"/>
      <w:r w:rsidRPr="00BB1C15">
        <w:rPr>
          <w:rFonts w:cs="Arial"/>
        </w:rPr>
        <w:t>. Eingestellt wurden Unterspannungsabschaltung zum Schutz der AGM-Batterie, die batteriespezifische Ladekennlinie sowie die Eingangsstrombegrenzung des Netzanschlusses. Eine externe Steuereinheit ist für diese Schutzfunktionen nicht erforderlich.</w:t>
      </w:r>
    </w:p>
    <w:p w14:paraId="7192FDA8" w14:textId="77777777" w:rsidR="00D64B2E" w:rsidRPr="00D64B2E" w:rsidRDefault="00D64B2E" w:rsidP="00686CB9">
      <w:pPr>
        <w:pStyle w:val="berschrift2"/>
      </w:pPr>
      <w:bookmarkStart w:id="28" w:name="_Toc222739158"/>
      <w:r w:rsidRPr="00D64B2E">
        <w:t>4.6.4 Remote-Monitoring über das VRM-Portal</w:t>
      </w:r>
      <w:bookmarkEnd w:id="28"/>
    </w:p>
    <w:p w14:paraId="6ACE67B8" w14:textId="0F569F84" w:rsidR="00D64B2E" w:rsidRPr="00D64B2E" w:rsidRDefault="00BB1C15" w:rsidP="0052589C">
      <w:pPr>
        <w:ind w:left="708"/>
        <w:jc w:val="both"/>
        <w:rPr>
          <w:rFonts w:cs="Arial"/>
        </w:rPr>
      </w:pPr>
      <w:r w:rsidRPr="00BB1C15">
        <w:rPr>
          <w:rFonts w:cs="Arial"/>
        </w:rPr>
        <w:t>Über Ethernet oder WLAN ist der Cerbo GX mit dem VRM-Portal von Victron Energy verbunden. Das Portal speichert historische Systemdaten und ermöglicht die Fernüberwachung.</w:t>
      </w:r>
    </w:p>
    <w:p w14:paraId="56A4CE8B" w14:textId="76F00505" w:rsidR="00BB1C15" w:rsidRPr="00D130DC" w:rsidRDefault="00BB1C15" w:rsidP="00D130DC">
      <w:pPr>
        <w:tabs>
          <w:tab w:val="left" w:pos="1180"/>
        </w:tabs>
        <w:ind w:left="708"/>
        <w:jc w:val="both"/>
        <w:rPr>
          <w:rFonts w:cs="Arial"/>
        </w:rPr>
      </w:pPr>
    </w:p>
    <w:p w14:paraId="6F785347" w14:textId="77777777" w:rsidR="003A0571" w:rsidRDefault="003A0571" w:rsidP="003D6115">
      <w:pPr>
        <w:ind w:left="708"/>
        <w:jc w:val="both"/>
        <w:rPr>
          <w:rFonts w:cs="Arial"/>
        </w:rPr>
      </w:pPr>
    </w:p>
    <w:p w14:paraId="3169575A" w14:textId="77777777" w:rsidR="00D130DC" w:rsidRDefault="00D130DC" w:rsidP="00D130DC">
      <w:pPr>
        <w:pStyle w:val="berschrift1"/>
      </w:pPr>
      <w:bookmarkStart w:id="29" w:name="_Toc222739159"/>
      <w:r>
        <w:rPr>
          <w:rFonts w:eastAsia="Arial"/>
        </w:rPr>
        <w:t>4.7 Wirtschaftliche Analyse</w:t>
      </w:r>
      <w:bookmarkEnd w:id="29"/>
    </w:p>
    <w:p w14:paraId="325018BD" w14:textId="0A3027D2" w:rsidR="00ED5F49" w:rsidRPr="00ED5F49" w:rsidRDefault="00ED5F49" w:rsidP="00ED5F49">
      <w:pPr>
        <w:ind w:left="708"/>
        <w:jc w:val="both"/>
        <w:rPr>
          <w:rFonts w:cs="Arial"/>
        </w:rPr>
      </w:pPr>
      <w:r w:rsidRPr="00ED5F49">
        <w:rPr>
          <w:rFonts w:cs="Arial"/>
        </w:rPr>
        <w:t xml:space="preserve">In diesem Kapitel wird untersucht, ob und wie schnell sich eine Investition in ein PV-basiertes Energiesystem für Gewächshausanwendungen wirtschaftlich rechnet. Da der entwickelte Prototyp primär als Test- und Demonstrationssystem konzipiert wurde und nicht auf Wirtschaftlichkeit ausgelegt ist, wäre es </w:t>
      </w:r>
      <w:r w:rsidR="001658BC">
        <w:rPr>
          <w:rFonts w:cs="Arial"/>
        </w:rPr>
        <w:t>nicht</w:t>
      </w:r>
      <w:r w:rsidRPr="00ED5F49">
        <w:rPr>
          <w:rFonts w:cs="Arial"/>
        </w:rPr>
        <w:t xml:space="preserve"> sinnvoll, ihn als Berechnungsgrundlage heranzuziehen. Aus diesem Grund wird im Folgenden ein Fallbeispiel auf Basis eines </w:t>
      </w:r>
      <w:r w:rsidR="00C6196E" w:rsidRPr="00ED5F49">
        <w:rPr>
          <w:rFonts w:cs="Arial"/>
        </w:rPr>
        <w:t xml:space="preserve">Gewächshauses </w:t>
      </w:r>
      <w:r w:rsidR="00C6196E">
        <w:rPr>
          <w:rFonts w:cs="Arial"/>
        </w:rPr>
        <w:t xml:space="preserve">mit </w:t>
      </w:r>
      <w:r w:rsidRPr="00ED5F49">
        <w:rPr>
          <w:rFonts w:cs="Arial"/>
        </w:rPr>
        <w:t>10</w:t>
      </w:r>
      <w:r>
        <w:rPr>
          <w:rFonts w:cs="Arial"/>
        </w:rPr>
        <w:t> </w:t>
      </w:r>
      <w:r w:rsidRPr="00ED5F49">
        <w:rPr>
          <w:rFonts w:cs="Arial"/>
        </w:rPr>
        <w:t>m²</w:t>
      </w:r>
      <w:r w:rsidR="00C6196E">
        <w:rPr>
          <w:rFonts w:cs="Arial"/>
        </w:rPr>
        <w:t xml:space="preserve"> Dachfläche</w:t>
      </w:r>
      <w:r w:rsidRPr="00ED5F49">
        <w:rPr>
          <w:rFonts w:cs="Arial"/>
        </w:rPr>
        <w:t xml:space="preserve"> verwendet</w:t>
      </w:r>
      <w:r w:rsidR="00DF1B0D">
        <w:rPr>
          <w:rFonts w:cs="Arial"/>
        </w:rPr>
        <w:t>.</w:t>
      </w:r>
    </w:p>
    <w:p w14:paraId="7DBEDFD3" w14:textId="77777777" w:rsidR="00173D73" w:rsidRDefault="00173D73" w:rsidP="00173D73">
      <w:pPr>
        <w:pStyle w:val="berschrift2"/>
      </w:pPr>
      <w:bookmarkStart w:id="30" w:name="_Toc222739160"/>
      <w:r>
        <w:rPr>
          <w:rFonts w:eastAsia="Arial"/>
        </w:rPr>
        <w:t>4.7.1 ROI-Berechnung des PV-Systems</w:t>
      </w:r>
      <w:bookmarkEnd w:id="30"/>
    </w:p>
    <w:p w14:paraId="069F3294" w14:textId="6C38FF05" w:rsidR="00D11011" w:rsidRPr="00D11011" w:rsidRDefault="00D11011" w:rsidP="00D11011">
      <w:pPr>
        <w:ind w:left="708"/>
        <w:jc w:val="both"/>
        <w:rPr>
          <w:rFonts w:cs="Arial"/>
        </w:rPr>
      </w:pPr>
      <w:r w:rsidRPr="00D11011">
        <w:rPr>
          <w:rFonts w:cs="Arial"/>
        </w:rPr>
        <w:t xml:space="preserve">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w:t>
      </w:r>
      <w:proofErr w:type="spellStart"/>
      <w:r w:rsidRPr="00D11011">
        <w:rPr>
          <w:rFonts w:cs="Arial"/>
        </w:rPr>
        <w:t>Stromsensorik</w:t>
      </w:r>
      <w:proofErr w:type="spellEnd"/>
      <w:r w:rsidRPr="00D11011">
        <w:rPr>
          <w:rFonts w:cs="Arial"/>
        </w:rPr>
        <w:t xml:space="preserve"> und Steuerungselektronik umfasst. Alle weiteren Systemkomponenten wie Klimaüberwachung, Bewässerung oder KI-gestützte Analyse werden separat bilanziert.</w:t>
      </w:r>
    </w:p>
    <w:p w14:paraId="24640759" w14:textId="40292C25" w:rsidR="00D11011" w:rsidRPr="00D11011" w:rsidRDefault="00D11011" w:rsidP="00D11011">
      <w:pPr>
        <w:ind w:left="708"/>
        <w:jc w:val="both"/>
        <w:rPr>
          <w:rFonts w:cs="Arial"/>
        </w:rPr>
      </w:pPr>
      <w:r w:rsidRPr="00D11011">
        <w:rPr>
          <w:rFonts w:cs="Arial"/>
        </w:rPr>
        <w:t>Gemäß aktuellen Branchenwerten werden für die Installation von 1</w:t>
      </w:r>
      <w:r w:rsidR="00A07A1A">
        <w:rPr>
          <w:rFonts w:cs="Arial"/>
        </w:rPr>
        <w:t> </w:t>
      </w:r>
      <w:r w:rsidRPr="00D11011">
        <w:rPr>
          <w:rFonts w:cs="Arial"/>
        </w:rPr>
        <w:t>kWp Photovoltaikleistung rund 5</w:t>
      </w:r>
      <w:r w:rsidR="00A07A1A">
        <w:rPr>
          <w:rFonts w:cs="Arial"/>
        </w:rPr>
        <w:t> </w:t>
      </w:r>
      <w:r w:rsidRPr="00D11011">
        <w:rPr>
          <w:rFonts w:cs="Arial"/>
        </w:rPr>
        <w:t xml:space="preserve">m² Dachfläche benötigt </w:t>
      </w:r>
      <w:r w:rsidR="00A07A1A">
        <w:rPr>
          <w:rFonts w:cs="Arial"/>
        </w:rPr>
        <w:fldChar w:fldCharType="begin"/>
      </w:r>
      <w:r w:rsidR="00A07A1A">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Für das Fallbeispiel wird vereinfachend eine nutzbare Dachfläche von 10</w:t>
      </w:r>
      <w:r w:rsidR="00A07A1A">
        <w:rPr>
          <w:rFonts w:cs="Arial"/>
        </w:rPr>
        <w:t> </w:t>
      </w:r>
      <w:r w:rsidRPr="00D11011">
        <w:rPr>
          <w:rFonts w:cs="Arial"/>
        </w:rPr>
        <w:t>m² angenommen. Daraus ergibt sich eine installierbare Leistung von etwa 2</w:t>
      </w:r>
      <w:r w:rsidR="00A07A1A">
        <w:rPr>
          <w:rFonts w:cs="Arial"/>
        </w:rPr>
        <w:t> </w:t>
      </w:r>
      <w:r w:rsidRPr="00D11011">
        <w:rPr>
          <w:rFonts w:cs="Arial"/>
        </w:rPr>
        <w:t xml:space="preserve">kWp </w:t>
      </w:r>
      <w:r w:rsidR="00A07A1A">
        <w:rPr>
          <w:rFonts w:cs="Arial"/>
        </w:rPr>
        <w:fldChar w:fldCharType="begin"/>
      </w:r>
      <w:r w:rsidR="00A07A1A">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Die Investitionskosten für PV-Anlagen inklusive Batteriespeicher liegen in Österreich im Jahr 2025 bei rund 2.000 bis 2.800</w:t>
      </w:r>
      <w:r w:rsidR="002B61A2">
        <w:rPr>
          <w:rFonts w:cs="Arial"/>
        </w:rPr>
        <w:t> Euro</w:t>
      </w:r>
      <w:r w:rsidRPr="00D11011">
        <w:rPr>
          <w:rFonts w:cs="Arial"/>
        </w:rPr>
        <w:t xml:space="preserve">/kWp </w:t>
      </w:r>
      <w:r w:rsidR="002B61A2">
        <w:rPr>
          <w:rFonts w:cs="Arial"/>
        </w:rPr>
        <w:fldChar w:fldCharType="begin"/>
      </w:r>
      <w:r w:rsidR="002B61A2">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2B61A2">
        <w:rPr>
          <w:rFonts w:ascii="Segoe UI Symbol" w:hAnsi="Segoe UI Symbol" w:cs="Segoe UI Symbol"/>
        </w:rPr>
        <w:instrText>➤</w:instrText>
      </w:r>
      <w:r w:rsidR="002B61A2">
        <w:rPr>
          <w:rFonts w:cs="Arial"/>
        </w:rPr>
        <w:instrText xml:space="preserve"> Mit dem interaktiven Photovoltaik Rechner zur optimalen Gr</w:instrText>
      </w:r>
      <w:r w:rsidR="002B61A2">
        <w:rPr>
          <w:rFonts w:ascii="Aptos" w:hAnsi="Aptos" w:cs="Aptos"/>
        </w:rPr>
        <w:instrText>öß</w:instrText>
      </w:r>
      <w:r w:rsidR="002B61A2">
        <w:rPr>
          <w:rFonts w:cs="Arial"/>
        </w:rPr>
        <w:instrText>e, Ausrichtung und Wirtschaftlichkeit.","language":"de","title":"Photovoltaik Kosten &amp; Ertrag inkl. PV Rechner - Salzburg AG f</w:instrText>
      </w:r>
      <w:r w:rsidR="002B61A2">
        <w:rPr>
          <w:rFonts w:ascii="Aptos" w:hAnsi="Aptos" w:cs="Aptos"/>
        </w:rPr>
        <w:instrText>ü</w:instrText>
      </w:r>
      <w:r w:rsidR="002B61A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2B61A2">
        <w:rPr>
          <w:rFonts w:cs="Arial"/>
        </w:rPr>
        <w:fldChar w:fldCharType="separate"/>
      </w:r>
      <w:r w:rsidR="002B61A2" w:rsidRPr="002B61A2">
        <w:rPr>
          <w:rFonts w:ascii="Aptos" w:hAnsi="Aptos"/>
        </w:rPr>
        <w:t>[17]</w:t>
      </w:r>
      <w:r w:rsidR="002B61A2">
        <w:rPr>
          <w:rFonts w:cs="Arial"/>
        </w:rPr>
        <w:fldChar w:fldCharType="end"/>
      </w:r>
      <w:r w:rsidRPr="00D11011">
        <w:rPr>
          <w:rFonts w:cs="Arial"/>
        </w:rPr>
        <w:t xml:space="preserve">, was für </w:t>
      </w:r>
      <w:r w:rsidR="002B61A2">
        <w:rPr>
          <w:rFonts w:cs="Arial"/>
        </w:rPr>
        <w:lastRenderedPageBreak/>
        <w:t>2 </w:t>
      </w:r>
      <w:r w:rsidRPr="00D11011">
        <w:rPr>
          <w:rFonts w:cs="Arial"/>
        </w:rPr>
        <w:t>kWp Gesamtkosten von 4.000 bis 5.600</w:t>
      </w:r>
      <w:r w:rsidR="002B61A2">
        <w:rPr>
          <w:rFonts w:cs="Arial"/>
        </w:rPr>
        <w:t> </w:t>
      </w:r>
      <w:r w:rsidRPr="00D11011">
        <w:rPr>
          <w:rFonts w:cs="Arial"/>
        </w:rPr>
        <w:t>Euro ergibt. Für die weitere Berechnung wird der Mittelwert von 4.800</w:t>
      </w:r>
      <w:r w:rsidR="002B61A2">
        <w:rPr>
          <w:rFonts w:cs="Arial"/>
        </w:rPr>
        <w:t> </w:t>
      </w:r>
      <w:r w:rsidRPr="00D11011">
        <w:rPr>
          <w:rFonts w:cs="Arial"/>
        </w:rPr>
        <w:t>Euro verwendet.</w:t>
      </w:r>
    </w:p>
    <w:p w14:paraId="2C7AA1EC" w14:textId="47931166" w:rsidR="00D11011" w:rsidRPr="00D11011" w:rsidRDefault="00D11011" w:rsidP="00D11011">
      <w:pPr>
        <w:ind w:left="708"/>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sidR="002B61A2">
        <w:rPr>
          <w:rFonts w:cs="Arial"/>
        </w:rPr>
        <w:fldChar w:fldCharType="begin"/>
      </w:r>
      <w:r w:rsidR="002B61A2">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2B61A2">
        <w:rPr>
          <w:rFonts w:cs="Arial"/>
        </w:rPr>
        <w:fldChar w:fldCharType="separate"/>
      </w:r>
      <w:r w:rsidR="002B61A2" w:rsidRPr="002B61A2">
        <w:rPr>
          <w:rFonts w:ascii="Aptos" w:hAnsi="Aptos"/>
        </w:rPr>
        <w:t>[18]</w:t>
      </w:r>
      <w:r w:rsidR="002B61A2">
        <w:rPr>
          <w:rFonts w:cs="Arial"/>
        </w:rPr>
        <w:fldChar w:fldCharType="end"/>
      </w:r>
      <w:r w:rsidRPr="00D11011">
        <w:rPr>
          <w:rFonts w:cs="Arial"/>
        </w:rPr>
        <w:t>. Bei 2</w:t>
      </w:r>
      <w:r w:rsidR="002B61A2">
        <w:rPr>
          <w:rFonts w:cs="Arial"/>
        </w:rPr>
        <w:t> </w:t>
      </w:r>
      <w:r w:rsidRPr="00D11011">
        <w:rPr>
          <w:rFonts w:cs="Arial"/>
        </w:rPr>
        <w:t>kWp installierter Leistung ergibt sich damit eine tägliche Energieerzeugung von rund 11,3</w:t>
      </w:r>
      <w:r w:rsidR="002B61A2">
        <w:rPr>
          <w:rFonts w:cs="Arial"/>
        </w:rPr>
        <w:t> </w:t>
      </w:r>
      <w:r w:rsidRPr="00D11011">
        <w:rPr>
          <w:rFonts w:cs="Arial"/>
        </w:rPr>
        <w:t>kWh (2.000</w:t>
      </w:r>
      <w:r w:rsidR="002B61A2">
        <w:rPr>
          <w:rFonts w:cs="Arial"/>
        </w:rPr>
        <w:t> </w:t>
      </w:r>
      <w:r w:rsidRPr="00D11011">
        <w:rPr>
          <w:rFonts w:cs="Arial"/>
        </w:rPr>
        <w:t>W × 5,66</w:t>
      </w:r>
      <w:r w:rsidR="002B61A2">
        <w:rPr>
          <w:rFonts w:cs="Arial"/>
        </w:rPr>
        <w:t> </w:t>
      </w:r>
      <w:r w:rsidRPr="00D11011">
        <w:rPr>
          <w:rFonts w:cs="Arial"/>
        </w:rPr>
        <w:t>h), hochgerechnet auf ein Jahr eine Gesamtenergie von ca. 4.132</w:t>
      </w:r>
      <w:r w:rsidR="002B61A2">
        <w:rPr>
          <w:rFonts w:cs="Arial"/>
        </w:rPr>
        <w:t> </w:t>
      </w:r>
      <w:r w:rsidRPr="00D11011">
        <w:rPr>
          <w:rFonts w:cs="Arial"/>
        </w:rPr>
        <w:t>kWh (11,3</w:t>
      </w:r>
      <w:r w:rsidR="002B61A2">
        <w:rPr>
          <w:rFonts w:cs="Arial"/>
        </w:rPr>
        <w:t>2 </w:t>
      </w:r>
      <w:r w:rsidRPr="00D11011">
        <w:rPr>
          <w:rFonts w:cs="Arial"/>
        </w:rPr>
        <w:t>kWh × 365</w:t>
      </w:r>
      <w:r w:rsidR="002B61A2">
        <w:rPr>
          <w:rFonts w:cs="Arial"/>
        </w:rPr>
        <w:t> </w:t>
      </w:r>
      <w:r w:rsidRPr="00D11011">
        <w:rPr>
          <w:rFonts w:cs="Arial"/>
        </w:rPr>
        <w:t>Tage).</w:t>
      </w:r>
    </w:p>
    <w:p w14:paraId="77A2A43C" w14:textId="6256F2E3" w:rsidR="00D11011" w:rsidRPr="00D11011" w:rsidRDefault="00D11011" w:rsidP="00D11011">
      <w:pPr>
        <w:ind w:left="708"/>
        <w:jc w:val="both"/>
        <w:rPr>
          <w:rFonts w:cs="Arial"/>
        </w:rPr>
      </w:pPr>
      <w:r w:rsidRPr="00D11011">
        <w:rPr>
          <w:rFonts w:cs="Arial"/>
        </w:rPr>
        <w:t xml:space="preserve">Allerdings schwankt die tatsächliche Tageserzeugung je nach Jahreszeit </w:t>
      </w:r>
      <w:r w:rsidR="00551D71">
        <w:rPr>
          <w:rFonts w:cs="Arial"/>
        </w:rPr>
        <w:t>deutlich</w:t>
      </w:r>
      <w:r w:rsidRPr="00D11011">
        <w:rPr>
          <w:rFonts w:cs="Arial"/>
        </w:rPr>
        <w:t>. Im Sommer (Juni bis August) stehen durchschnittlich rund 7,</w:t>
      </w:r>
      <w:r w:rsidR="00551D71">
        <w:rPr>
          <w:rFonts w:cs="Arial"/>
        </w:rPr>
        <w:t>3</w:t>
      </w:r>
      <w:r w:rsidRPr="00D11011">
        <w:rPr>
          <w:rFonts w:cs="Arial"/>
        </w:rPr>
        <w:t xml:space="preserve"> bis 8,0 Sonnenstunden pro Tag zur Verfügung, was einer täglichen Erzeugung von ca. 1</w:t>
      </w:r>
      <w:r w:rsidR="00551D71">
        <w:rPr>
          <w:rFonts w:cs="Arial"/>
        </w:rPr>
        <w:t>4</w:t>
      </w:r>
      <w:r w:rsidRPr="00D11011">
        <w:rPr>
          <w:rFonts w:cs="Arial"/>
        </w:rPr>
        <w:t>,</w:t>
      </w:r>
      <w:r w:rsidR="00551D71">
        <w:rPr>
          <w:rFonts w:cs="Arial"/>
        </w:rPr>
        <w:t>6</w:t>
      </w:r>
      <w:r w:rsidRPr="00D11011">
        <w:rPr>
          <w:rFonts w:cs="Arial"/>
        </w:rPr>
        <w:t xml:space="preserve"> bis 16,0</w:t>
      </w:r>
      <w:r w:rsidR="00551D71">
        <w:rPr>
          <w:rFonts w:cs="Arial"/>
        </w:rPr>
        <w:t> </w:t>
      </w:r>
      <w:r w:rsidRPr="00D11011">
        <w:rPr>
          <w:rFonts w:cs="Arial"/>
        </w:rPr>
        <w:t xml:space="preserve">kWh entspricht. Im Winter hingegen – insbesondere im Dezember – reduziert sich der Wert auf </w:t>
      </w:r>
      <w:r w:rsidR="00551D71">
        <w:rPr>
          <w:rFonts w:cs="Arial"/>
        </w:rPr>
        <w:t>ca.</w:t>
      </w:r>
      <w:r w:rsidRPr="00D11011">
        <w:rPr>
          <w:rFonts w:cs="Arial"/>
        </w:rPr>
        <w:t xml:space="preserve"> 3 Sonnenstunden pro Tag </w:t>
      </w:r>
      <w:r w:rsidR="00551D71">
        <w:rPr>
          <w:rFonts w:cs="Arial"/>
        </w:rPr>
        <w:fldChar w:fldCharType="begin"/>
      </w:r>
      <w:r w:rsidR="00551D71">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551D71">
        <w:rPr>
          <w:rFonts w:cs="Arial"/>
        </w:rPr>
        <w:fldChar w:fldCharType="separate"/>
      </w:r>
      <w:r w:rsidR="00551D71" w:rsidRPr="00551D71">
        <w:rPr>
          <w:rFonts w:ascii="Aptos" w:hAnsi="Aptos"/>
        </w:rPr>
        <w:t>[18]</w:t>
      </w:r>
      <w:r w:rsidR="00551D71">
        <w:rPr>
          <w:rFonts w:cs="Arial"/>
        </w:rPr>
        <w:fldChar w:fldCharType="end"/>
      </w:r>
      <w:r w:rsidRPr="00D11011">
        <w:rPr>
          <w:rFonts w:cs="Arial"/>
        </w:rPr>
        <w:t xml:space="preserve">, was einer täglichen Erzeugung von lediglich ca. </w:t>
      </w:r>
      <w:r w:rsidR="00551D71">
        <w:rPr>
          <w:rFonts w:cs="Arial"/>
        </w:rPr>
        <w:t>6</w:t>
      </w:r>
      <w:r w:rsidRPr="00D11011">
        <w:rPr>
          <w:rFonts w:cs="Arial"/>
        </w:rPr>
        <w:t>,0</w:t>
      </w:r>
      <w:r w:rsidR="001462B2">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35839945" w14:textId="7A252E26" w:rsidR="00D11011" w:rsidRPr="00D11011" w:rsidRDefault="00D11011" w:rsidP="00D11011">
      <w:pPr>
        <w:ind w:left="708"/>
        <w:jc w:val="both"/>
        <w:rPr>
          <w:rFonts w:cs="Arial"/>
        </w:rPr>
      </w:pPr>
      <w:r w:rsidRPr="00D11011">
        <w:rPr>
          <w:rFonts w:cs="Arial"/>
        </w:rPr>
        <w:t xml:space="preserve">Der österreichische Endkundenstrompreis liegt bei rund 0,20 </w:t>
      </w:r>
      <w:r w:rsidR="00DA5809">
        <w:rPr>
          <w:rFonts w:cs="Arial"/>
        </w:rPr>
        <w:t>bis</w:t>
      </w:r>
      <w:r w:rsidRPr="00D11011">
        <w:rPr>
          <w:rFonts w:cs="Arial"/>
        </w:rPr>
        <w:t xml:space="preserve"> 0,30</w:t>
      </w:r>
      <w:r w:rsidR="00DA5809">
        <w:rPr>
          <w:rFonts w:cs="Arial"/>
        </w:rPr>
        <w:t> </w:t>
      </w:r>
      <w:r w:rsidRPr="00D11011">
        <w:rPr>
          <w:rFonts w:cs="Arial"/>
        </w:rPr>
        <w:t xml:space="preserve">Euro/kWh inklusive Netzkosten, Abgaben und Steuern </w:t>
      </w:r>
      <w:r w:rsidR="00DA5809">
        <w:rPr>
          <w:rFonts w:cs="Arial"/>
        </w:rPr>
        <w:fldChar w:fldCharType="begin"/>
      </w:r>
      <w:r w:rsidR="00DA5809">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DA5809">
        <w:rPr>
          <w:rFonts w:cs="Arial"/>
        </w:rPr>
        <w:fldChar w:fldCharType="separate"/>
      </w:r>
      <w:r w:rsidR="00DA5809" w:rsidRPr="00DA5809">
        <w:rPr>
          <w:rFonts w:ascii="Aptos" w:hAnsi="Aptos"/>
        </w:rPr>
        <w:t>[19]</w:t>
      </w:r>
      <w:r w:rsidR="00DA5809">
        <w:rPr>
          <w:rFonts w:cs="Arial"/>
        </w:rPr>
        <w:fldChar w:fldCharType="end"/>
      </w:r>
      <w:r w:rsidRPr="00D11011">
        <w:rPr>
          <w:rFonts w:cs="Arial"/>
        </w:rPr>
        <w:t xml:space="preserve">. Als Mittelwert wird für die Berechnung </w:t>
      </w:r>
      <w:r w:rsidR="00DA5809">
        <w:rPr>
          <w:rFonts w:cs="Arial"/>
        </w:rPr>
        <w:t xml:space="preserve">wird </w:t>
      </w:r>
      <w:r w:rsidRPr="00D11011">
        <w:rPr>
          <w:rFonts w:cs="Arial"/>
        </w:rPr>
        <w:t>ein Preis von 0,25</w:t>
      </w:r>
      <w:r w:rsidR="00DA5809">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sidR="001462B2">
        <w:rPr>
          <w:rFonts w:cs="Arial"/>
        </w:rPr>
        <w:t> </w:t>
      </w:r>
      <w:r w:rsidRPr="00D11011">
        <w:rPr>
          <w:rFonts w:cs="Arial"/>
        </w:rPr>
        <w:t xml:space="preserve">% </w:t>
      </w:r>
      <w:r w:rsidR="001462B2">
        <w:rPr>
          <w:rFonts w:cs="Arial"/>
        </w:rPr>
        <w:fldChar w:fldCharType="begin"/>
      </w:r>
      <w:r w:rsidR="001462B2">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1462B2">
        <w:rPr>
          <w:rFonts w:ascii="Segoe UI Symbol" w:hAnsi="Segoe UI Symbol" w:cs="Segoe UI Symbol"/>
        </w:rPr>
        <w:instrText>➤</w:instrText>
      </w:r>
      <w:r w:rsidR="001462B2">
        <w:rPr>
          <w:rFonts w:cs="Arial"/>
        </w:rPr>
        <w:instrText xml:space="preserve"> Mit dem interaktiven Photovoltaik Rechner zur optimalen Gr</w:instrText>
      </w:r>
      <w:r w:rsidR="001462B2">
        <w:rPr>
          <w:rFonts w:ascii="Aptos" w:hAnsi="Aptos" w:cs="Aptos"/>
        </w:rPr>
        <w:instrText>öß</w:instrText>
      </w:r>
      <w:r w:rsidR="001462B2">
        <w:rPr>
          <w:rFonts w:cs="Arial"/>
        </w:rPr>
        <w:instrText>e, Ausrichtung und Wirtschaftlichkeit.","language":"de","title":"Photovoltaik Kosten &amp; Ertrag inkl. PV Rechner - Salzburg AG f</w:instrText>
      </w:r>
      <w:r w:rsidR="001462B2">
        <w:rPr>
          <w:rFonts w:ascii="Aptos" w:hAnsi="Aptos" w:cs="Aptos"/>
        </w:rPr>
        <w:instrText>ü</w:instrText>
      </w:r>
      <w:r w:rsidR="001462B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1462B2">
        <w:rPr>
          <w:rFonts w:cs="Arial"/>
        </w:rPr>
        <w:fldChar w:fldCharType="separate"/>
      </w:r>
      <w:r w:rsidR="001462B2" w:rsidRPr="001462B2">
        <w:rPr>
          <w:rFonts w:ascii="Aptos" w:hAnsi="Aptos"/>
        </w:rPr>
        <w:t>[17]</w:t>
      </w:r>
      <w:r w:rsidR="001462B2">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sidR="001462B2">
        <w:rPr>
          <w:rFonts w:cs="Arial"/>
        </w:rPr>
        <w:t> </w:t>
      </w:r>
      <w:r w:rsidRPr="00D11011">
        <w:rPr>
          <w:rFonts w:cs="Arial"/>
        </w:rPr>
        <w:t>Euro (4.132</w:t>
      </w:r>
      <w:r w:rsidR="001462B2">
        <w:rPr>
          <w:rFonts w:cs="Arial"/>
        </w:rPr>
        <w:t> </w:t>
      </w:r>
      <w:r w:rsidRPr="00D11011">
        <w:rPr>
          <w:rFonts w:cs="Arial"/>
        </w:rPr>
        <w:t>kWh × 0,25</w:t>
      </w:r>
      <w:r w:rsidR="001462B2">
        <w:rPr>
          <w:rFonts w:cs="Arial"/>
        </w:rPr>
        <w:t> </w:t>
      </w:r>
      <w:r w:rsidRPr="00D11011">
        <w:rPr>
          <w:rFonts w:cs="Arial"/>
        </w:rPr>
        <w:t>Euro/kWh).</w:t>
      </w:r>
    </w:p>
    <w:p w14:paraId="149BAF21" w14:textId="77777777" w:rsidR="00D11011" w:rsidRPr="00D11011" w:rsidRDefault="00D11011" w:rsidP="00D11011">
      <w:pPr>
        <w:ind w:left="708"/>
        <w:jc w:val="both"/>
        <w:rPr>
          <w:rFonts w:cs="Arial"/>
        </w:rPr>
      </w:pPr>
      <w:r w:rsidRPr="00D11011">
        <w:rPr>
          <w:rFonts w:cs="Arial"/>
        </w:rPr>
        <w:t>Der ROI berechnet sich aus dem Verhältnis zwischen dem jährlichen Nutzen und der Gesamtinvestition:</w:t>
      </w:r>
    </w:p>
    <w:p w14:paraId="339A4E45" w14:textId="67CA09EF" w:rsidR="00D11011" w:rsidRPr="00D11011" w:rsidRDefault="00D11011" w:rsidP="00D11011">
      <w:pPr>
        <w:ind w:left="708"/>
        <w:jc w:val="both"/>
        <w:rPr>
          <w:rFonts w:cs="Arial"/>
        </w:rPr>
      </w:pPr>
      <w:r w:rsidRPr="00D11011">
        <w:rPr>
          <w:rFonts w:cs="Arial"/>
        </w:rPr>
        <w:t>ROI = (jährlicher Nutzen / Investition) × 100 = (1.033 / 4.800) × 100 ≈ 21,5</w:t>
      </w:r>
      <w:r w:rsidR="001462B2">
        <w:rPr>
          <w:rFonts w:cs="Arial"/>
        </w:rPr>
        <w:t> </w:t>
      </w:r>
      <w:r w:rsidRPr="00D11011">
        <w:rPr>
          <w:rFonts w:cs="Arial"/>
        </w:rPr>
        <w:t>%</w:t>
      </w:r>
    </w:p>
    <w:p w14:paraId="295B3E0C" w14:textId="64DB7728" w:rsidR="002F2F14" w:rsidRPr="002F2F14" w:rsidRDefault="00D11011" w:rsidP="00AB5BFB">
      <w:pPr>
        <w:ind w:left="708"/>
        <w:jc w:val="both"/>
        <w:rPr>
          <w:rFonts w:cs="Arial"/>
        </w:rPr>
      </w:pPr>
      <w:r w:rsidRPr="00D11011">
        <w:rPr>
          <w:rFonts w:cs="Arial"/>
        </w:rPr>
        <w:t xml:space="preserve">Die durchschnittliche jährliche Kapitalrendite liegt damit bei </w:t>
      </w:r>
      <w:r w:rsidR="001462B2">
        <w:rPr>
          <w:rFonts w:cs="Arial"/>
        </w:rPr>
        <w:t>ca.</w:t>
      </w:r>
      <w:r w:rsidRPr="00D11011">
        <w:rPr>
          <w:rFonts w:cs="Arial"/>
        </w:rPr>
        <w:t xml:space="preserve"> 21,5</w:t>
      </w:r>
      <w:r w:rsidR="001462B2">
        <w:rPr>
          <w:rFonts w:cs="Arial"/>
        </w:rPr>
        <w:t> </w:t>
      </w:r>
      <w:r w:rsidRPr="00D11011">
        <w:rPr>
          <w:rFonts w:cs="Arial"/>
        </w:rPr>
        <w:t>%.</w:t>
      </w:r>
    </w:p>
    <w:p w14:paraId="07ECBB28" w14:textId="77777777" w:rsidR="009A557B" w:rsidRPr="009A557B" w:rsidRDefault="009A557B" w:rsidP="009A557B">
      <w:pPr>
        <w:pStyle w:val="berschrift2"/>
      </w:pPr>
      <w:bookmarkStart w:id="31" w:name="_Toc222739161"/>
      <w:r w:rsidRPr="009A557B">
        <w:t>4.7.2 Amortisationsrechnung und Vergleich: Insellösung versus Netzanbindung</w:t>
      </w:r>
      <w:bookmarkEnd w:id="31"/>
    </w:p>
    <w:p w14:paraId="11B0CA54" w14:textId="543E91D1" w:rsidR="00D11012" w:rsidRPr="00D11012" w:rsidRDefault="00D11012" w:rsidP="00D11012">
      <w:pPr>
        <w:ind w:left="708"/>
        <w:jc w:val="both"/>
        <w:rPr>
          <w:rFonts w:cs="Arial"/>
        </w:rPr>
      </w:pPr>
      <w:r w:rsidRPr="00D11012">
        <w:rPr>
          <w:rFonts w:cs="Arial"/>
        </w:rPr>
        <w:t>Die einfache Amortisationszeit ohne Berücksichtigung von Preissteigerungen beträgt:</w:t>
      </w:r>
    </w:p>
    <w:p w14:paraId="464EA639" w14:textId="7145DF79" w:rsidR="00D11012" w:rsidRPr="00D11012" w:rsidRDefault="00D11012" w:rsidP="00D11012">
      <w:pPr>
        <w:ind w:left="708"/>
        <w:jc w:val="both"/>
        <w:rPr>
          <w:rFonts w:cs="Arial"/>
        </w:rPr>
      </w:pPr>
      <w:r w:rsidRPr="00D11012">
        <w:rPr>
          <w:rFonts w:cs="Arial"/>
        </w:rPr>
        <w:t>Amortisationszeit = Investition / jährliche Einsparung = 4.800</w:t>
      </w:r>
      <w:r w:rsidR="00D343F6">
        <w:rPr>
          <w:rFonts w:cs="Arial"/>
        </w:rPr>
        <w:t> </w:t>
      </w:r>
      <w:r w:rsidRPr="00D11012">
        <w:rPr>
          <w:rFonts w:cs="Arial"/>
        </w:rPr>
        <w:t>Euro / 1.033</w:t>
      </w:r>
      <w:r w:rsidR="00D343F6">
        <w:rPr>
          <w:rFonts w:cs="Arial"/>
        </w:rPr>
        <w:t> </w:t>
      </w:r>
      <w:r w:rsidRPr="00D11012">
        <w:rPr>
          <w:rFonts w:cs="Arial"/>
        </w:rPr>
        <w:t>Euro ≈ 4,6</w:t>
      </w:r>
      <w:r w:rsidR="00D343F6">
        <w:rPr>
          <w:rFonts w:cs="Arial"/>
        </w:rPr>
        <w:t> </w:t>
      </w:r>
      <w:r w:rsidRPr="00D11012">
        <w:rPr>
          <w:rFonts w:cs="Arial"/>
        </w:rPr>
        <w:t>Jahre</w:t>
      </w:r>
    </w:p>
    <w:p w14:paraId="524BAAE7" w14:textId="0845E6A0" w:rsidR="00D11012" w:rsidRPr="00D11012" w:rsidRDefault="00D11012" w:rsidP="00D11012">
      <w:pPr>
        <w:ind w:left="708"/>
        <w:jc w:val="both"/>
        <w:rPr>
          <w:rFonts w:cs="Arial"/>
        </w:rPr>
      </w:pPr>
      <w:r w:rsidRPr="00D11012">
        <w:rPr>
          <w:rFonts w:cs="Arial"/>
        </w:rPr>
        <w:t>Berücksichtigt man, dass die österreichischen Großhandelspreise für Strom laut Austrian Energy Agency im Februar 2026 gegenüber dem Vorjahr um rund 3,7 % gestiegen sind [4], ist davon auszugehen, dass auch die Endkundenpreise mittelfristig weiter steigen werden – wenn auch gedämpft durch stabile Netzgebühr- und Steueranteile. Steigende Endkundenpreise würden die jährliche Einsparung erhöhen und die effektive Amortisationszeit gegenüber dem berechneten Wert von 4,6 Jahren weiter verkürzen.</w:t>
      </w:r>
    </w:p>
    <w:tbl>
      <w:tblPr>
        <w:tblpPr w:leftFromText="141" w:rightFromText="141" w:vertAnchor="text" w:horzAnchor="page" w:tblpXSpec="center" w:tblpY="1073"/>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D11012" w:rsidRPr="00D11012" w14:paraId="5F0D6625"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38E34B71"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lastRenderedPageBreak/>
              <w:t>Kriterium</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02D1F4B6"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Insellösung</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4BA5A89B"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Hybridsystem</w:t>
            </w:r>
          </w:p>
        </w:tc>
        <w:tc>
          <w:tcPr>
            <w:tcW w:w="2426"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2D422EE2"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Netzeinspeisung</w:t>
            </w:r>
          </w:p>
        </w:tc>
      </w:tr>
      <w:tr w:rsidR="00D11012" w:rsidRPr="00D11012" w14:paraId="3ACA8AD9"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495AD"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Investition (2 kWp)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EC778" w14:textId="75F13D33"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4.000–5.600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71438" w14:textId="383BDEA6"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4.000–5.600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F8914" w14:textId="3D2A3C78"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2.000–3.600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r>
      <w:tr w:rsidR="00D11012" w:rsidRPr="00D11012" w14:paraId="39BCFD0C"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D84B9" w14:textId="77777777" w:rsidR="00D11012" w:rsidRPr="00D11012" w:rsidRDefault="00D11012" w:rsidP="00D343F6">
            <w:pPr>
              <w:spacing w:after="0" w:line="240" w:lineRule="auto"/>
              <w:jc w:val="center"/>
              <w:rPr>
                <w:rFonts w:eastAsia="Arial" w:cs="Arial"/>
                <w:kern w:val="0"/>
                <w:sz w:val="24"/>
                <w:szCs w:val="24"/>
                <w:lang w:eastAsia="de-AT"/>
                <w14:ligatures w14:val="none"/>
              </w:rPr>
            </w:pPr>
            <w:proofErr w:type="spellStart"/>
            <w:r w:rsidRPr="00D11012">
              <w:rPr>
                <w:rFonts w:eastAsia="Arial" w:cs="Arial"/>
                <w:color w:val="000000"/>
                <w:kern w:val="0"/>
                <w:sz w:val="20"/>
                <w:szCs w:val="20"/>
                <w:lang w:eastAsia="de-AT"/>
                <w14:ligatures w14:val="none"/>
              </w:rPr>
              <w:t>Jährl</w:t>
            </w:r>
            <w:proofErr w:type="spellEnd"/>
            <w:r w:rsidRPr="00D11012">
              <w:rPr>
                <w:rFonts w:eastAsia="Arial" w:cs="Arial"/>
                <w:color w:val="000000"/>
                <w:kern w:val="0"/>
                <w:sz w:val="20"/>
                <w:szCs w:val="20"/>
                <w:lang w:eastAsia="de-AT"/>
                <w14:ligatures w14:val="none"/>
              </w:rPr>
              <w:t>. Einsparung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9512C" w14:textId="1E24A57D"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~1.033</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BE605" w14:textId="0BF9EC3F"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~1.033</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409E8" w14:textId="02EADF69"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250–455</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r>
      <w:tr w:rsidR="00D11012" w:rsidRPr="00D11012" w14:paraId="204D6A56"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48130"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Amortisation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E162" w14:textId="412CB659"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~4,6</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F495D" w14:textId="4DBC9454"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~4,6</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E49AF" w14:textId="671BA670"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11–19</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r>
      <w:tr w:rsidR="00D11012" w:rsidRPr="00D11012" w14:paraId="55812BAD"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51BB7"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Versorgungssicherheit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51757"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Batterieabhängig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D58F8"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Hoch (Netz als Backup)</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DAFF4D"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Vollständig</w:t>
            </w:r>
          </w:p>
        </w:tc>
      </w:tr>
      <w:tr w:rsidR="00D11012" w:rsidRPr="00D11012" w14:paraId="635970E7"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6BAE"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Netzgebühren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0D843"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Keine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56B50"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Reduziert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2C842"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Ja</w:t>
            </w:r>
          </w:p>
        </w:tc>
      </w:tr>
      <w:tr w:rsidR="00D11012" w:rsidRPr="00D11012" w14:paraId="0C57CB8A"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D4174"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Winterbetrieb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2CB"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Eingeschränkt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8DEC4"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Gesichert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6E7CF"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Gesichert</w:t>
            </w:r>
          </w:p>
        </w:tc>
      </w:tr>
      <w:tr w:rsidR="00D11012" w:rsidRPr="00D11012" w14:paraId="47CA9264"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830B8"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Vergütung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1D689"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Eigenverbrauch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041D9"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Eigenverbrauch</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B1A3E" w14:textId="50EF05B9" w:rsidR="00D11012" w:rsidRPr="00D11012" w:rsidRDefault="00482B2F" w:rsidP="00D343F6">
            <w:pPr>
              <w:spacing w:after="0" w:line="240" w:lineRule="auto"/>
              <w:jc w:val="center"/>
              <w:rPr>
                <w:rFonts w:eastAsia="Arial" w:cs="Arial"/>
                <w:kern w:val="0"/>
                <w:sz w:val="24"/>
                <w:szCs w:val="24"/>
                <w:lang w:eastAsia="de-AT"/>
                <w14:ligatures w14:val="none"/>
              </w:rPr>
            </w:pPr>
            <w:r>
              <w:rPr>
                <w:rFonts w:eastAsia="Arial" w:cs="Arial"/>
                <w:color w:val="000000"/>
                <w:kern w:val="0"/>
                <w:sz w:val="20"/>
                <w:szCs w:val="20"/>
                <w:lang w:eastAsia="de-AT"/>
                <w14:ligatures w14:val="none"/>
              </w:rPr>
              <w:t>2</w:t>
            </w:r>
            <w:r w:rsidR="00D11012" w:rsidRPr="00D11012">
              <w:rPr>
                <w:rFonts w:eastAsia="Arial" w:cs="Arial"/>
                <w:color w:val="000000"/>
                <w:kern w:val="0"/>
                <w:sz w:val="20"/>
                <w:szCs w:val="20"/>
                <w:lang w:eastAsia="de-AT"/>
                <w14:ligatures w14:val="none"/>
              </w:rPr>
              <w:t>–11</w:t>
            </w:r>
            <w:r>
              <w:rPr>
                <w:rFonts w:eastAsia="Arial" w:cs="Arial"/>
                <w:color w:val="000000"/>
                <w:kern w:val="0"/>
                <w:sz w:val="20"/>
                <w:szCs w:val="20"/>
                <w:lang w:eastAsia="de-AT"/>
                <w14:ligatures w14:val="none"/>
              </w:rPr>
              <w:t> </w:t>
            </w:r>
            <w:r w:rsidR="00D11012" w:rsidRPr="00D11012">
              <w:rPr>
                <w:rFonts w:eastAsia="Arial" w:cs="Arial"/>
                <w:color w:val="000000"/>
                <w:kern w:val="0"/>
                <w:sz w:val="20"/>
                <w:szCs w:val="20"/>
                <w:lang w:eastAsia="de-AT"/>
                <w14:ligatures w14:val="none"/>
              </w:rPr>
              <w:t xml:space="preserve">ct/kWh </w:t>
            </w:r>
            <w:r>
              <w:rPr>
                <w:rFonts w:eastAsia="Arial" w:cs="Arial"/>
                <w:color w:val="000000"/>
                <w:kern w:val="0"/>
                <w:sz w:val="20"/>
                <w:szCs w:val="20"/>
                <w:lang w:eastAsia="de-AT"/>
                <w14:ligatures w14:val="none"/>
              </w:rPr>
              <w:fldChar w:fldCharType="begin"/>
            </w:r>
            <w:r>
              <w:rPr>
                <w:rFonts w:eastAsia="Arial" w:cs="Arial"/>
                <w:color w:val="000000"/>
                <w:kern w:val="0"/>
                <w:sz w:val="20"/>
                <w:szCs w:val="2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eastAsia="Arial" w:cs="Arial"/>
                <w:color w:val="000000"/>
                <w:kern w:val="0"/>
                <w:sz w:val="20"/>
                <w:szCs w:val="20"/>
                <w:lang w:eastAsia="de-AT"/>
                <w14:ligatures w14:val="none"/>
              </w:rPr>
              <w:fldChar w:fldCharType="separate"/>
            </w:r>
            <w:r w:rsidRPr="00482B2F">
              <w:rPr>
                <w:rFonts w:ascii="Aptos" w:hAnsi="Aptos"/>
                <w:sz w:val="20"/>
              </w:rPr>
              <w:t>[20]</w:t>
            </w:r>
            <w:r>
              <w:rPr>
                <w:rFonts w:eastAsia="Arial" w:cs="Arial"/>
                <w:color w:val="000000"/>
                <w:kern w:val="0"/>
                <w:sz w:val="20"/>
                <w:szCs w:val="20"/>
                <w:lang w:eastAsia="de-AT"/>
                <w14:ligatures w14:val="none"/>
              </w:rPr>
              <w:fldChar w:fldCharType="end"/>
            </w:r>
          </w:p>
        </w:tc>
      </w:tr>
    </w:tbl>
    <w:p w14:paraId="3BE843B9" w14:textId="77777777" w:rsidR="00D11012" w:rsidRPr="00D11012" w:rsidRDefault="00D11012" w:rsidP="00D11012">
      <w:pPr>
        <w:ind w:left="708"/>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70B658B0" w14:textId="77777777" w:rsidR="00D11012" w:rsidRDefault="00D11012" w:rsidP="00D11012">
      <w:pPr>
        <w:spacing w:after="0"/>
        <w:ind w:left="708"/>
        <w:jc w:val="both"/>
        <w:rPr>
          <w:rFonts w:cs="Arial"/>
        </w:rPr>
      </w:pPr>
    </w:p>
    <w:p w14:paraId="48209807" w14:textId="6212ACA6" w:rsidR="00D11012" w:rsidRPr="00D11012" w:rsidRDefault="00D11012" w:rsidP="00D11012">
      <w:pPr>
        <w:ind w:left="708"/>
        <w:jc w:val="both"/>
        <w:rPr>
          <w:rFonts w:cs="Arial"/>
        </w:rPr>
      </w:pPr>
      <w:r w:rsidRPr="00D11012">
        <w:rPr>
          <w:rFonts w:cs="Arial"/>
        </w:rPr>
        <w:t xml:space="preserve">Die reine Insellösung bietet die höchste Unabhängigkeit vom Stromnetz und vermeidet Netzgebühren vollständig. Ihre Schwachstelle liegt im Winterbetrieb: Mit durchschnittlich nur 3,5 Sonnenstunden pro Tag im Dezember </w:t>
      </w:r>
      <w:r w:rsidR="003E5C32">
        <w:rPr>
          <w:rFonts w:cs="Arial"/>
        </w:rPr>
        <w:fldChar w:fldCharType="begin"/>
      </w:r>
      <w:r w:rsidR="003E5C32">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3E5C32">
        <w:rPr>
          <w:rFonts w:cs="Arial"/>
        </w:rPr>
        <w:fldChar w:fldCharType="separate"/>
      </w:r>
      <w:r w:rsidR="003E5C32" w:rsidRPr="003E5C32">
        <w:rPr>
          <w:rFonts w:ascii="Aptos" w:hAnsi="Aptos"/>
        </w:rPr>
        <w:t>[18]</w:t>
      </w:r>
      <w:r w:rsidR="003E5C32">
        <w:rPr>
          <w:rFonts w:cs="Arial"/>
        </w:rPr>
        <w:fldChar w:fldCharType="end"/>
      </w:r>
      <w:r w:rsidRPr="00D11012">
        <w:rPr>
          <w:rFonts w:cs="Arial"/>
        </w:rPr>
        <w:t xml:space="preserve"> und entsprechend geringer Energieerzeugung von ca. </w:t>
      </w:r>
      <w:r w:rsidR="003E5C32">
        <w:rPr>
          <w:rFonts w:cs="Arial"/>
        </w:rPr>
        <w:t>6</w:t>
      </w:r>
      <w:r w:rsidRPr="00D11012">
        <w:rPr>
          <w:rFonts w:cs="Arial"/>
        </w:rPr>
        <w:t>,0</w:t>
      </w:r>
      <w:r w:rsidR="003E5C32">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sidR="003E5C32">
        <w:rPr>
          <w:rFonts w:cs="Arial"/>
        </w:rPr>
        <w:t>t</w:t>
      </w:r>
      <w:r w:rsidRPr="00D11012">
        <w:rPr>
          <w:rFonts w:cs="Arial"/>
        </w:rPr>
        <w:t xml:space="preserve"> garantiert.</w:t>
      </w:r>
    </w:p>
    <w:p w14:paraId="25751E62" w14:textId="77777777" w:rsidR="00D11012" w:rsidRDefault="00D11012" w:rsidP="00D11012">
      <w:pPr>
        <w:ind w:left="708"/>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53E34424" w14:textId="78F56765" w:rsidR="00D644D2" w:rsidRPr="00D11012" w:rsidRDefault="00D644D2" w:rsidP="00D11012">
      <w:pPr>
        <w:ind w:left="708"/>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Euro/kWh – die Einspeisung von Überschussenergie ist dabei nicht eingerechnet und würde die tatsächliche Amortisationszeit gegenüber dem berechneten Wert von 4,6</w:t>
      </w:r>
      <w:r>
        <w:rPr>
          <w:rFonts w:cs="Arial"/>
        </w:rPr>
        <w:t> </w:t>
      </w:r>
      <w:r w:rsidRPr="00D644D2">
        <w:rPr>
          <w:rFonts w:cs="Arial"/>
        </w:rPr>
        <w:t>Jahren weiter verkürzen.</w:t>
      </w:r>
    </w:p>
    <w:p w14:paraId="191B6747" w14:textId="11C8FF3B" w:rsidR="00D11012" w:rsidRPr="00D11012" w:rsidRDefault="00D11012" w:rsidP="00D11012">
      <w:pPr>
        <w:ind w:left="708"/>
        <w:jc w:val="both"/>
        <w:rPr>
          <w:rFonts w:cs="Arial"/>
        </w:rPr>
      </w:pPr>
      <w:r w:rsidRPr="00D11012">
        <w:rPr>
          <w:rFonts w:cs="Arial"/>
        </w:rPr>
        <w:t>Die reine Netzanbindung mit Einspeisung ist wirtschaftlich am wenigsten attraktiv. Der ÖMAG-Einspeisetarif lag zuletzt bei rund 5,9</w:t>
      </w:r>
      <w:r w:rsidR="00D644D2">
        <w:rPr>
          <w:rFonts w:cs="Arial"/>
        </w:rPr>
        <w:t> </w:t>
      </w:r>
      <w:r w:rsidRPr="00D11012">
        <w:rPr>
          <w:rFonts w:cs="Arial"/>
        </w:rPr>
        <w:t>Cent/kWh, während private Anbieter zwischen 2,0 und 11,0</w:t>
      </w:r>
      <w:r w:rsidR="00D644D2">
        <w:rPr>
          <w:rFonts w:cs="Arial"/>
        </w:rPr>
        <w:t> </w:t>
      </w:r>
      <w:r w:rsidRPr="00D11012">
        <w:rPr>
          <w:rFonts w:cs="Arial"/>
        </w:rPr>
        <w:t>Cent/kWh vergüten – im Durchschnitt rund 6,05</w:t>
      </w:r>
      <w:r w:rsidR="00D644D2">
        <w:rPr>
          <w:rFonts w:cs="Arial"/>
        </w:rPr>
        <w:t> </w:t>
      </w:r>
      <w:r w:rsidRPr="00D11012">
        <w:rPr>
          <w:rFonts w:cs="Arial"/>
        </w:rPr>
        <w:t xml:space="preserve">Cent/kWh </w:t>
      </w:r>
      <w:r w:rsidR="00D644D2">
        <w:rPr>
          <w:rFonts w:cs="Arial"/>
        </w:rPr>
        <w:fldChar w:fldCharType="begin"/>
      </w:r>
      <w:r w:rsidR="00D644D2">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Das </w:t>
      </w:r>
      <w:r w:rsidRPr="00D11012">
        <w:rPr>
          <w:rFonts w:cs="Arial"/>
        </w:rPr>
        <w:lastRenderedPageBreak/>
        <w:t>liegt deutlich unter dem Eigenverbrauchswert von 0,25</w:t>
      </w:r>
      <w:r w:rsidR="00D644D2">
        <w:rPr>
          <w:rFonts w:cs="Arial"/>
        </w:rPr>
        <w:t> </w:t>
      </w:r>
      <w:r w:rsidRPr="00D11012">
        <w:rPr>
          <w:rFonts w:cs="Arial"/>
        </w:rPr>
        <w:t xml:space="preserve">Euro/kWh </w:t>
      </w:r>
      <w:r w:rsidR="00D644D2">
        <w:rPr>
          <w:rFonts w:cs="Arial"/>
        </w:rPr>
        <w:fldChar w:fldCharType="begin"/>
      </w:r>
      <w:r w:rsidR="00D644D2">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Bei vollständiger Einspeisung würde die jährliche Vergütung lediglich </w:t>
      </w:r>
      <w:r w:rsidR="00D644D2">
        <w:rPr>
          <w:rFonts w:cs="Arial"/>
        </w:rPr>
        <w:t>80 € (</w:t>
      </w:r>
      <w:r w:rsidR="00D644D2" w:rsidRPr="00D11012">
        <w:rPr>
          <w:rFonts w:cs="Arial"/>
        </w:rPr>
        <w:t>4.132</w:t>
      </w:r>
      <w:r w:rsidR="00D644D2">
        <w:rPr>
          <w:rFonts w:cs="Arial"/>
        </w:rPr>
        <w:t> </w:t>
      </w:r>
      <w:r w:rsidR="00D644D2" w:rsidRPr="00D11012">
        <w:rPr>
          <w:rFonts w:cs="Arial"/>
        </w:rPr>
        <w:t>kWh × 0,0</w:t>
      </w:r>
      <w:r w:rsidR="00D644D2">
        <w:rPr>
          <w:rFonts w:cs="Arial"/>
        </w:rPr>
        <w:t>2 </w:t>
      </w:r>
      <w:r w:rsidR="00D644D2" w:rsidRPr="00D11012">
        <w:rPr>
          <w:rFonts w:cs="Arial"/>
        </w:rPr>
        <w:t>Euro/kWh</w:t>
      </w:r>
      <w:r w:rsidR="00D644D2">
        <w:rPr>
          <w:rFonts w:cs="Arial"/>
        </w:rPr>
        <w:t>)</w:t>
      </w:r>
      <w:r w:rsidRPr="00D11012">
        <w:rPr>
          <w:rFonts w:cs="Arial"/>
        </w:rPr>
        <w:t xml:space="preserve"> bis 455</w:t>
      </w:r>
      <w:r w:rsidR="00D644D2">
        <w:rPr>
          <w:rFonts w:cs="Arial"/>
        </w:rPr>
        <w:t> </w:t>
      </w:r>
      <w:r w:rsidRPr="00D11012">
        <w:rPr>
          <w:rFonts w:cs="Arial"/>
        </w:rPr>
        <w:t>Euro betragen (4.132</w:t>
      </w:r>
      <w:r w:rsidR="00D644D2">
        <w:rPr>
          <w:rFonts w:cs="Arial"/>
        </w:rPr>
        <w:t> </w:t>
      </w:r>
      <w:r w:rsidRPr="00D11012">
        <w:rPr>
          <w:rFonts w:cs="Arial"/>
        </w:rPr>
        <w:t>kWh ×</w:t>
      </w:r>
      <w:r w:rsidR="00D644D2">
        <w:rPr>
          <w:rFonts w:cs="Arial"/>
        </w:rPr>
        <w:t xml:space="preserve"> </w:t>
      </w:r>
      <w:r w:rsidRPr="00D11012">
        <w:rPr>
          <w:rFonts w:cs="Arial"/>
        </w:rPr>
        <w:t>0,11</w:t>
      </w:r>
      <w:r w:rsidR="00D644D2">
        <w:rPr>
          <w:rFonts w:cs="Arial"/>
        </w:rPr>
        <w:t> </w:t>
      </w:r>
      <w:r w:rsidRPr="00D11012">
        <w:rPr>
          <w:rFonts w:cs="Arial"/>
        </w:rPr>
        <w:t xml:space="preserve">Euro/kWh), was die Amortisationszeit auf 11 bis 19 Jahre verlängern würde. </w:t>
      </w:r>
      <w:r w:rsidR="00847F09"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7C50AC5A" w14:textId="5277164B" w:rsidR="00D11012" w:rsidRPr="009A557B" w:rsidRDefault="00D11012" w:rsidP="00D11012">
      <w:pPr>
        <w:ind w:left="708"/>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5DD2EE" w14:textId="3BE6EBEA" w:rsidR="009A557B" w:rsidRPr="009A557B" w:rsidRDefault="009A557B" w:rsidP="009A557B">
      <w:pPr>
        <w:pStyle w:val="berschrift2"/>
      </w:pPr>
      <w:bookmarkStart w:id="32" w:name="_Toc222739162"/>
      <w:r w:rsidRPr="009A557B">
        <w:t>4.7.3 Betriebskosten</w:t>
      </w:r>
      <w:r w:rsidR="00AB5BFB">
        <w:t xml:space="preserve"> und Wirtschaftlichkeitsbewertung</w:t>
      </w:r>
      <w:bookmarkEnd w:id="32"/>
    </w:p>
    <w:p w14:paraId="0BE43A41" w14:textId="61774616" w:rsidR="00AB5BFB" w:rsidRPr="00AB5BFB" w:rsidRDefault="00AB5BFB" w:rsidP="00AB5BFB">
      <w:pPr>
        <w:ind w:left="708"/>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sidR="00C073FE">
        <w:rPr>
          <w:rFonts w:cs="Arial"/>
        </w:rPr>
        <w:fldChar w:fldCharType="begin"/>
      </w:r>
      <w:r w:rsidR="00C073FE">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beschränken sich die jährlichen Betriebskosten auf gelegentliche Sichtprüfungen sowie das Monitoring des Batteriezustands. Die Lebensdauer der PV-Module beträgt mindestens 25 Jahre, wobei Qualitätsmodelle nach dieser Zeit noch mindestens 85</w:t>
      </w:r>
      <w:r w:rsidR="00C073FE">
        <w:rPr>
          <w:rFonts w:cs="Arial"/>
        </w:rPr>
        <w:t> </w:t>
      </w:r>
      <w:r w:rsidRPr="00AB5BFB">
        <w:rPr>
          <w:rFonts w:cs="Arial"/>
        </w:rPr>
        <w:t xml:space="preserve">% ihrer ursprünglichen Leistung erbringen </w:t>
      </w:r>
      <w:r w:rsidR="00C073FE">
        <w:rPr>
          <w:rFonts w:cs="Arial"/>
        </w:rPr>
        <w:fldChar w:fldCharType="begin"/>
      </w:r>
      <w:r w:rsidR="00C073FE">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Der Wechselrichter hat eine kürzere Lebensdauer von rund 10 bis 15</w:t>
      </w:r>
      <w:r w:rsidR="00C073FE">
        <w:rPr>
          <w:rFonts w:cs="Arial"/>
        </w:rPr>
        <w:t> </w:t>
      </w:r>
      <w:r w:rsidRPr="00AB5BFB">
        <w:rPr>
          <w:rFonts w:cs="Arial"/>
        </w:rPr>
        <w:t>Jahren, weshalb ein einmaliger Austausch über die Systemlaufzeit einzuplanen ist.</w:t>
      </w:r>
    </w:p>
    <w:p w14:paraId="4D9B7F91" w14:textId="2DEA12B6" w:rsidR="00AB5BFB" w:rsidRPr="00AB5BFB" w:rsidRDefault="00AB5BFB" w:rsidP="00AB5BFB">
      <w:pPr>
        <w:ind w:left="708"/>
        <w:jc w:val="both"/>
        <w:rPr>
          <w:rFonts w:cs="Arial"/>
        </w:rPr>
      </w:pPr>
      <w:r w:rsidRPr="00AB5BFB">
        <w:rPr>
          <w:rFonts w:cs="Arial"/>
        </w:rPr>
        <w:t>Die Stromerzeugungskosten (</w:t>
      </w:r>
      <w:proofErr w:type="spellStart"/>
      <w:r w:rsidRPr="00AB5BFB">
        <w:rPr>
          <w:rFonts w:cs="Arial"/>
        </w:rPr>
        <w:t>Levelized</w:t>
      </w:r>
      <w:proofErr w:type="spellEnd"/>
      <w:r w:rsidRPr="00AB5BFB">
        <w:rPr>
          <w:rFonts w:cs="Arial"/>
        </w:rPr>
        <w:t xml:space="preserve"> </w:t>
      </w:r>
      <w:proofErr w:type="spellStart"/>
      <w:r w:rsidRPr="00AB5BFB">
        <w:rPr>
          <w:rFonts w:cs="Arial"/>
        </w:rPr>
        <w:t>Cost</w:t>
      </w:r>
      <w:proofErr w:type="spellEnd"/>
      <w:r w:rsidRPr="00AB5BFB">
        <w:rPr>
          <w:rFonts w:cs="Arial"/>
        </w:rPr>
        <w:t xml:space="preserve"> </w:t>
      </w:r>
      <w:proofErr w:type="spellStart"/>
      <w:r w:rsidRPr="00AB5BFB">
        <w:rPr>
          <w:rFonts w:cs="Arial"/>
        </w:rPr>
        <w:t>of</w:t>
      </w:r>
      <w:proofErr w:type="spellEnd"/>
      <w:r w:rsidRPr="00AB5BFB">
        <w:rPr>
          <w:rFonts w:cs="Arial"/>
        </w:rPr>
        <w:t xml:space="preserve"> </w:t>
      </w:r>
      <w:proofErr w:type="spellStart"/>
      <w:r w:rsidRPr="00AB5BFB">
        <w:rPr>
          <w:rFonts w:cs="Arial"/>
        </w:rPr>
        <w:t>Electricity</w:t>
      </w:r>
      <w:proofErr w:type="spellEnd"/>
      <w:r w:rsidRPr="00AB5BFB">
        <w:rPr>
          <w:rFonts w:cs="Arial"/>
        </w:rPr>
        <w:t>, LCOE) liegen auf Basis der Investitionskosten von 4.800</w:t>
      </w:r>
      <w:r w:rsidR="004A1ADC">
        <w:rPr>
          <w:rFonts w:cs="Arial"/>
        </w:rPr>
        <w:t> </w:t>
      </w:r>
      <w:r w:rsidRPr="00AB5BFB">
        <w:rPr>
          <w:rFonts w:cs="Arial"/>
        </w:rPr>
        <w:t>Euro, einer angenommenen Systemlebensdauer von 10 bis 15</w:t>
      </w:r>
      <w:r w:rsidR="004A1ADC">
        <w:rPr>
          <w:rFonts w:cs="Arial"/>
        </w:rPr>
        <w:t> </w:t>
      </w:r>
      <w:r w:rsidRPr="00AB5BFB">
        <w:rPr>
          <w:rFonts w:cs="Arial"/>
        </w:rPr>
        <w:t>Jahren und einer jährlichen Energieerzeugung von 4.132</w:t>
      </w:r>
      <w:r w:rsidR="004A1ADC">
        <w:rPr>
          <w:rFonts w:cs="Arial"/>
        </w:rPr>
        <w:t> </w:t>
      </w:r>
      <w:r w:rsidRPr="00AB5BFB">
        <w:rPr>
          <w:rFonts w:cs="Arial"/>
        </w:rPr>
        <w:t>kWh bei rund 0,08 bis 0,12</w:t>
      </w:r>
      <w:r w:rsidR="00C073FE">
        <w:rPr>
          <w:rFonts w:cs="Arial"/>
        </w:rPr>
        <w:t> </w:t>
      </w:r>
      <w:r w:rsidRPr="00AB5BFB">
        <w:rPr>
          <w:rFonts w:cs="Arial"/>
        </w:rPr>
        <w:t xml:space="preserve">Euro/kWh – deutlich unter dem aktuellen Endkundenpreis von 0,25 Euro/kWh </w:t>
      </w:r>
      <w:r w:rsidR="00C073FE">
        <w:rPr>
          <w:rFonts w:cs="Arial"/>
        </w:rPr>
        <w:fldChar w:fldCharType="begin"/>
      </w:r>
      <w:r w:rsidR="00C073FE">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C073FE">
        <w:rPr>
          <w:rFonts w:cs="Arial"/>
        </w:rPr>
        <w:fldChar w:fldCharType="separate"/>
      </w:r>
      <w:r w:rsidR="00C073FE" w:rsidRPr="00C073FE">
        <w:rPr>
          <w:rFonts w:ascii="Aptos" w:hAnsi="Aptos"/>
        </w:rPr>
        <w:t>[20]</w:t>
      </w:r>
      <w:r w:rsidR="00C073FE">
        <w:rPr>
          <w:rFonts w:cs="Arial"/>
        </w:rPr>
        <w:fldChar w:fldCharType="end"/>
      </w:r>
      <w:r w:rsidRPr="00AB5BFB">
        <w:rPr>
          <w:rFonts w:cs="Arial"/>
        </w:rPr>
        <w:t>. Selbst unter Berücksichtigung eines Wechselrichtertauschs nach etwa 12</w:t>
      </w:r>
      <w:r w:rsidR="004A1ADC">
        <w:rPr>
          <w:rFonts w:cs="Arial"/>
        </w:rPr>
        <w:t> </w:t>
      </w:r>
      <w:r w:rsidRPr="00AB5BFB">
        <w:rPr>
          <w:rFonts w:cs="Arial"/>
        </w:rPr>
        <w:t>Jahren bleiben die LCOE weit unter dem Netzbezugspreis.</w:t>
      </w:r>
    </w:p>
    <w:p w14:paraId="6179C11B" w14:textId="0AAAA9D9" w:rsidR="00AB5BFB" w:rsidRPr="00AB5BFB" w:rsidRDefault="00AB5BFB" w:rsidP="00AB5BFB">
      <w:pPr>
        <w:ind w:left="708"/>
        <w:jc w:val="both"/>
        <w:rPr>
          <w:rFonts w:cs="Arial"/>
        </w:rPr>
      </w:pPr>
      <w:r w:rsidRPr="00AB5BFB">
        <w:rPr>
          <w:rFonts w:cs="Arial"/>
        </w:rPr>
        <w:t>Zusammenfassend zeigt die Analyse, dass das Energie-Management-Modul für ein</w:t>
      </w:r>
      <w:r w:rsidR="004A1ADC">
        <w:rPr>
          <w:rFonts w:cs="Arial"/>
        </w:rPr>
        <w:t xml:space="preserve"> </w:t>
      </w:r>
      <w:r w:rsidR="004A1ADC" w:rsidRPr="00AB5BFB">
        <w:rPr>
          <w:rFonts w:cs="Arial"/>
        </w:rPr>
        <w:t>Gewächshaus</w:t>
      </w:r>
      <w:r w:rsidR="004A1ADC">
        <w:rPr>
          <w:rFonts w:cs="Arial"/>
        </w:rPr>
        <w:t xml:space="preserve"> mit</w:t>
      </w:r>
      <w:r w:rsidRPr="00AB5BFB">
        <w:rPr>
          <w:rFonts w:cs="Arial"/>
        </w:rPr>
        <w:t xml:space="preserve"> 10</w:t>
      </w:r>
      <w:r w:rsidR="004A1ADC">
        <w:rPr>
          <w:rFonts w:cs="Arial"/>
        </w:rPr>
        <w:t> </w:t>
      </w:r>
      <w:r w:rsidRPr="00AB5BFB">
        <w:rPr>
          <w:rFonts w:cs="Arial"/>
        </w:rPr>
        <w:t xml:space="preserve">m² </w:t>
      </w:r>
      <w:r w:rsidR="004A1ADC">
        <w:rPr>
          <w:rFonts w:cs="Arial"/>
        </w:rPr>
        <w:t xml:space="preserve">Dachfläche </w:t>
      </w:r>
      <w:r w:rsidRPr="00AB5BFB">
        <w:rPr>
          <w:rFonts w:cs="Arial"/>
        </w:rPr>
        <w:t>mit einer Investition von rund 4.800</w:t>
      </w:r>
      <w:r w:rsidR="004A1ADC">
        <w:rPr>
          <w:rFonts w:cs="Arial"/>
        </w:rPr>
        <w:t> </w:t>
      </w:r>
      <w:r w:rsidRPr="00AB5BFB">
        <w:rPr>
          <w:rFonts w:cs="Arial"/>
        </w:rPr>
        <w:t xml:space="preserve">Euro </w:t>
      </w:r>
      <w:r w:rsidR="004A1ADC">
        <w:rPr>
          <w:rFonts w:cs="Arial"/>
        </w:rPr>
        <w:fldChar w:fldCharType="begin"/>
      </w:r>
      <w:r w:rsidR="004A1ADC">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4A1ADC">
        <w:rPr>
          <w:rFonts w:ascii="Segoe UI Symbol" w:hAnsi="Segoe UI Symbol" w:cs="Segoe UI Symbol"/>
        </w:rPr>
        <w:instrText>➤</w:instrText>
      </w:r>
      <w:r w:rsidR="004A1ADC">
        <w:rPr>
          <w:rFonts w:cs="Arial"/>
        </w:rPr>
        <w:instrText xml:space="preserve"> Mit dem interaktiven Photovoltaik Rechner zur optimalen Gr</w:instrText>
      </w:r>
      <w:r w:rsidR="004A1ADC">
        <w:rPr>
          <w:rFonts w:ascii="Aptos" w:hAnsi="Aptos" w:cs="Aptos"/>
        </w:rPr>
        <w:instrText>öß</w:instrText>
      </w:r>
      <w:r w:rsidR="004A1ADC">
        <w:rPr>
          <w:rFonts w:cs="Arial"/>
        </w:rPr>
        <w:instrText>e, Ausrichtung und Wirtschaftlichkeit.","language":"de","title":"Photovoltaik Kosten &amp; Ertrag inkl. PV Rechner - Salzburg AG f</w:instrText>
      </w:r>
      <w:r w:rsidR="004A1ADC">
        <w:rPr>
          <w:rFonts w:ascii="Aptos" w:hAnsi="Aptos" w:cs="Aptos"/>
        </w:rPr>
        <w:instrText>ü</w:instrText>
      </w:r>
      <w:r w:rsidR="004A1ADC">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4A1ADC">
        <w:rPr>
          <w:rFonts w:cs="Arial"/>
        </w:rPr>
        <w:fldChar w:fldCharType="separate"/>
      </w:r>
      <w:r w:rsidR="004A1ADC" w:rsidRPr="004A1ADC">
        <w:rPr>
          <w:rFonts w:ascii="Aptos" w:hAnsi="Aptos"/>
        </w:rPr>
        <w:t>[17]</w:t>
      </w:r>
      <w:r w:rsidR="004A1ADC">
        <w:rPr>
          <w:rFonts w:cs="Arial"/>
        </w:rPr>
        <w:fldChar w:fldCharType="end"/>
      </w:r>
      <w:r w:rsidRPr="00AB5BFB">
        <w:rPr>
          <w:rFonts w:cs="Arial"/>
        </w:rPr>
        <w:t>, einer jährlichen Einsparung von ca. 1.033</w:t>
      </w:r>
      <w:r w:rsidR="004A1ADC">
        <w:rPr>
          <w:rFonts w:cs="Arial"/>
        </w:rPr>
        <w:t> </w:t>
      </w:r>
      <w:r w:rsidRPr="00AB5BFB">
        <w:rPr>
          <w:rFonts w:cs="Arial"/>
        </w:rPr>
        <w:t>Euro und einer Amortisationszeit von etwa 4,6</w:t>
      </w:r>
      <w:r w:rsidR="004A1ADC">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sidR="004A1ADC">
        <w:rPr>
          <w:rFonts w:cs="Arial"/>
        </w:rPr>
        <w:t>er</w:t>
      </w:r>
      <w:r w:rsidRPr="00AB5BFB">
        <w:rPr>
          <w:rFonts w:cs="Arial"/>
        </w:rPr>
        <w:t xml:space="preserve"> niedrige LCOE von 0,08 bis 0,1</w:t>
      </w:r>
      <w:r w:rsidR="004A1ADC">
        <w:rPr>
          <w:rFonts w:cs="Arial"/>
        </w:rPr>
        <w:t>2 </w:t>
      </w:r>
      <w:r w:rsidRPr="00AB5BFB">
        <w:rPr>
          <w:rFonts w:cs="Arial"/>
        </w:rPr>
        <w:t xml:space="preserve">Euro/kWh sowie die Unabhängigkeit von schwankenden Netzstrompreisen </w:t>
      </w:r>
      <w:r w:rsidR="004A1ADC">
        <w:rPr>
          <w:rFonts w:cs="Arial"/>
        </w:rPr>
        <w:fldChar w:fldCharType="begin"/>
      </w:r>
      <w:r w:rsidR="004A1ADC">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4A1ADC">
        <w:rPr>
          <w:rFonts w:cs="Arial"/>
        </w:rPr>
        <w:fldChar w:fldCharType="separate"/>
      </w:r>
      <w:r w:rsidR="004A1ADC" w:rsidRPr="004A1ADC">
        <w:rPr>
          <w:rFonts w:ascii="Aptos" w:hAnsi="Aptos"/>
        </w:rPr>
        <w:t>[19]</w:t>
      </w:r>
      <w:r w:rsidR="004A1ADC">
        <w:rPr>
          <w:rFonts w:cs="Arial"/>
        </w:rPr>
        <w:fldChar w:fldCharType="end"/>
      </w:r>
      <w:r w:rsidRPr="00AB5BFB">
        <w:rPr>
          <w:rFonts w:cs="Arial"/>
        </w:rPr>
        <w:t xml:space="preserve"> sprechen langfristig klar für die gewählte Lösung.</w:t>
      </w:r>
    </w:p>
    <w:p w14:paraId="7F3E8B5A" w14:textId="30C49C99" w:rsidR="007801B0" w:rsidRPr="007801B0" w:rsidRDefault="007801B0" w:rsidP="00AB5BFB">
      <w:pPr>
        <w:ind w:left="708"/>
        <w:jc w:val="both"/>
        <w:rPr>
          <w:rFonts w:cs="Arial"/>
        </w:rPr>
      </w:pPr>
    </w:p>
    <w:p w14:paraId="3158EF0E" w14:textId="45C4CCE3" w:rsidR="00222C03" w:rsidRDefault="00222C03" w:rsidP="003D6115">
      <w:pPr>
        <w:ind w:left="708"/>
        <w:jc w:val="both"/>
        <w:rPr>
          <w:rFonts w:cs="Arial"/>
        </w:rPr>
      </w:pPr>
    </w:p>
    <w:p w14:paraId="5F97695B" w14:textId="1410DFB4" w:rsidR="00222C03" w:rsidRDefault="0052036E" w:rsidP="0052036E">
      <w:pPr>
        <w:pStyle w:val="berschrift1"/>
      </w:pPr>
      <w:bookmarkStart w:id="33" w:name="_Toc222739163"/>
      <w:r>
        <w:t>4.8 Elektrische Planung</w:t>
      </w:r>
      <w:bookmarkEnd w:id="33"/>
    </w:p>
    <w:p w14:paraId="5E898C70" w14:textId="5DDD8B56" w:rsidR="006B5CFB" w:rsidRDefault="0052036E" w:rsidP="006B5CFB">
      <w:pPr>
        <w:ind w:left="708"/>
        <w:jc w:val="both"/>
        <w:rPr>
          <w:rFonts w:cs="Arial"/>
        </w:rPr>
      </w:pPr>
      <w:r w:rsidRPr="0052036E">
        <w:rPr>
          <w:rFonts w:cs="Arial"/>
        </w:rPr>
        <w:t xml:space="preserve">Auf </w:t>
      </w:r>
      <w:proofErr w:type="gramStart"/>
      <w:r w:rsidRPr="0052036E">
        <w:rPr>
          <w:rFonts w:cs="Arial"/>
        </w:rPr>
        <w:t>Basis</w:t>
      </w:r>
      <w:proofErr w:type="gramEnd"/>
      <w:r w:rsidRPr="0052036E">
        <w:rPr>
          <w:rFonts w:cs="Arial"/>
        </w:rPr>
        <w:t xml:space="preserve"> der in Kapitel 4.4 ausgewählten Komponenten wurde mit </w:t>
      </w:r>
      <w:proofErr w:type="spellStart"/>
      <w:r w:rsidRPr="0052036E">
        <w:rPr>
          <w:rFonts w:cs="Arial"/>
        </w:rPr>
        <w:t>KiCad</w:t>
      </w:r>
      <w:proofErr w:type="spellEnd"/>
      <w:r w:rsidRPr="0052036E">
        <w:rPr>
          <w:rFonts w:cs="Arial"/>
        </w:rPr>
        <w:t xml:space="preserve"> (Version 9.0) ein Schaltplan des Gesamtsystems erstellt (siehe Abbildung </w:t>
      </w:r>
      <w:r>
        <w:rPr>
          <w:rFonts w:cs="Arial"/>
        </w:rPr>
        <w:t>2</w:t>
      </w:r>
      <w:r w:rsidRPr="0052036E">
        <w:rPr>
          <w:rFonts w:cs="Arial"/>
        </w:rPr>
        <w:t>). Dieser dokumentiert die elektrischen Verbindungen aller Komponenten und diente als Grundlage für den physischen Aufbau des Prototyps.</w:t>
      </w:r>
    </w:p>
    <w:p w14:paraId="6C8BAFA0" w14:textId="77777777" w:rsidR="006B5CFB" w:rsidRDefault="006B5CFB" w:rsidP="0052036E">
      <w:pPr>
        <w:ind w:left="708"/>
        <w:jc w:val="both"/>
        <w:rPr>
          <w:rFonts w:cs="Arial"/>
        </w:rPr>
      </w:pPr>
    </w:p>
    <w:p w14:paraId="767AFBB1" w14:textId="77777777" w:rsidR="006B5CFB" w:rsidRDefault="006B5CFB" w:rsidP="0052036E">
      <w:pPr>
        <w:ind w:left="708"/>
        <w:jc w:val="both"/>
        <w:rPr>
          <w:rFonts w:cs="Arial"/>
        </w:rPr>
        <w:sectPr w:rsidR="006B5CFB" w:rsidSect="00303B13">
          <w:pgSz w:w="11906" w:h="16838"/>
          <w:pgMar w:top="1417" w:right="1417" w:bottom="1134" w:left="1417" w:header="708" w:footer="708" w:gutter="0"/>
          <w:cols w:space="708"/>
          <w:docGrid w:linePitch="360"/>
        </w:sectPr>
      </w:pPr>
    </w:p>
    <w:p w14:paraId="770373E3" w14:textId="4A39DB19" w:rsidR="006B5CFB" w:rsidRPr="004A13F8" w:rsidRDefault="004A13F8" w:rsidP="0052036E">
      <w:pPr>
        <w:ind w:left="708"/>
        <w:jc w:val="both"/>
        <w:rPr>
          <w:rFonts w:cs="Arial"/>
          <w:b/>
          <w:bCs/>
          <w:sz w:val="32"/>
          <w:szCs w:val="32"/>
        </w:rPr>
      </w:pPr>
      <w:r w:rsidRPr="004A13F8">
        <w:rPr>
          <w:rFonts w:cs="Arial"/>
          <w:b/>
          <w:bCs/>
          <w:i/>
          <w:iCs/>
          <w:sz w:val="32"/>
          <w:szCs w:val="32"/>
        </w:rPr>
        <w:lastRenderedPageBreak/>
        <w:drawing>
          <wp:anchor distT="0" distB="0" distL="114300" distR="114300" simplePos="0" relativeHeight="251666432" behindDoc="0" locked="0" layoutInCell="1" allowOverlap="1" wp14:anchorId="7515BEC1" wp14:editId="0C4473E2">
            <wp:simplePos x="0" y="0"/>
            <wp:positionH relativeFrom="margin">
              <wp:posOffset>1144307</wp:posOffset>
            </wp:positionH>
            <wp:positionV relativeFrom="paragraph">
              <wp:posOffset>318845</wp:posOffset>
            </wp:positionV>
            <wp:extent cx="7697470" cy="5130165"/>
            <wp:effectExtent l="0" t="0" r="0" b="0"/>
            <wp:wrapTopAndBottom/>
            <wp:docPr id="330273360" name="Grafik 1"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73360" name="Grafik 1" descr="Ein Bild, das Text, Diagramm, Plan, technische Zeichnung enthält.&#10;&#10;KI-generierte Inhalte können fehlerhaft sein."/>
                    <pic:cNvPicPr/>
                  </pic:nvPicPr>
                  <pic:blipFill>
                    <a:blip r:embed="rId7">
                      <a:extLst>
                        <a:ext uri="{28A0092B-C50C-407E-A947-70E740481C1C}">
                          <a14:useLocalDpi xmlns:a14="http://schemas.microsoft.com/office/drawing/2010/main" val="0"/>
                        </a:ext>
                      </a:extLst>
                    </a:blip>
                    <a:stretch>
                      <a:fillRect/>
                    </a:stretch>
                  </pic:blipFill>
                  <pic:spPr>
                    <a:xfrm>
                      <a:off x="0" y="0"/>
                      <a:ext cx="7697470" cy="5130165"/>
                    </a:xfrm>
                    <a:prstGeom prst="rect">
                      <a:avLst/>
                    </a:prstGeom>
                  </pic:spPr>
                </pic:pic>
              </a:graphicData>
            </a:graphic>
            <wp14:sizeRelH relativeFrom="margin">
              <wp14:pctWidth>0</wp14:pctWidth>
            </wp14:sizeRelH>
            <wp14:sizeRelV relativeFrom="margin">
              <wp14:pctHeight>0</wp14:pctHeight>
            </wp14:sizeRelV>
          </wp:anchor>
        </w:drawing>
      </w:r>
      <w:r w:rsidRPr="004A13F8">
        <w:rPr>
          <w:b/>
          <w:bCs/>
          <w:noProof/>
          <w:sz w:val="32"/>
          <w:szCs w:val="32"/>
        </w:rPr>
        <mc:AlternateContent>
          <mc:Choice Requires="wps">
            <w:drawing>
              <wp:anchor distT="0" distB="0" distL="114300" distR="114300" simplePos="0" relativeHeight="251663360" behindDoc="0" locked="0" layoutInCell="1" allowOverlap="1" wp14:anchorId="2025D601" wp14:editId="6D375B2F">
                <wp:simplePos x="0" y="0"/>
                <wp:positionH relativeFrom="column">
                  <wp:posOffset>466090</wp:posOffset>
                </wp:positionH>
                <wp:positionV relativeFrom="paragraph">
                  <wp:posOffset>5491106</wp:posOffset>
                </wp:positionV>
                <wp:extent cx="5761355" cy="635"/>
                <wp:effectExtent l="0" t="0" r="0" b="0"/>
                <wp:wrapTopAndBottom/>
                <wp:docPr id="752341431" name="Textfeld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12214717" w14:textId="4183F5D1" w:rsidR="00900872" w:rsidRPr="00D549AE" w:rsidRDefault="00900872" w:rsidP="00900872">
                            <w:pPr>
                              <w:pStyle w:val="Beschriftung"/>
                              <w:rPr>
                                <w:rFonts w:cs="Arial"/>
                                <w:sz w:val="22"/>
                                <w:szCs w:val="22"/>
                              </w:rPr>
                            </w:pPr>
                            <w:r>
                              <w:t xml:space="preserve">Abbildung </w:t>
                            </w:r>
                            <w:r>
                              <w:fldChar w:fldCharType="begin"/>
                            </w:r>
                            <w:r>
                              <w:instrText xml:space="preserve"> SEQ Abbildung \* ARABIC </w:instrText>
                            </w:r>
                            <w:r>
                              <w:fldChar w:fldCharType="separate"/>
                            </w:r>
                            <w:r w:rsidR="004A13F8">
                              <w:rPr>
                                <w:noProof/>
                              </w:rPr>
                              <w:t>2</w:t>
                            </w:r>
                            <w:r>
                              <w:fldChar w:fldCharType="end"/>
                            </w:r>
                            <w:r>
                              <w:t>: Schaltplan des hybriden 12-V-Energiesystems (</w:t>
                            </w:r>
                            <w:proofErr w:type="spellStart"/>
                            <w:r>
                              <w:t>KiCad</w:t>
                            </w:r>
                            <w:proofErr w:type="spellEnd"/>
                            <w:r>
                              <w:t>, eigene Darstellung)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5D601" id="_x0000_s1027" type="#_x0000_t202" style="position:absolute;left:0;text-align:left;margin-left:36.7pt;margin-top:432.35pt;width:453.6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" stroked="f">
                <v:textbox style="mso-fit-shape-to-text:t" inset="0,0,0,0">
                  <w:txbxContent>
                    <w:p w14:paraId="12214717" w14:textId="4183F5D1" w:rsidR="00900872" w:rsidRPr="00D549AE" w:rsidRDefault="00900872" w:rsidP="00900872">
                      <w:pPr>
                        <w:pStyle w:val="Beschriftung"/>
                        <w:rPr>
                          <w:rFonts w:cs="Arial"/>
                          <w:sz w:val="22"/>
                          <w:szCs w:val="22"/>
                        </w:rPr>
                      </w:pPr>
                      <w:r>
                        <w:t xml:space="preserve">Abbildung </w:t>
                      </w:r>
                      <w:r>
                        <w:fldChar w:fldCharType="begin"/>
                      </w:r>
                      <w:r>
                        <w:instrText xml:space="preserve"> SEQ Abbildung \* ARABIC </w:instrText>
                      </w:r>
                      <w:r>
                        <w:fldChar w:fldCharType="separate"/>
                      </w:r>
                      <w:r w:rsidR="004A13F8">
                        <w:rPr>
                          <w:noProof/>
                        </w:rPr>
                        <w:t>2</w:t>
                      </w:r>
                      <w:r>
                        <w:fldChar w:fldCharType="end"/>
                      </w:r>
                      <w:r>
                        <w:t>: Schaltplan des hybriden 12-V-Energiesystems (</w:t>
                      </w:r>
                      <w:proofErr w:type="spellStart"/>
                      <w:r>
                        <w:t>KiCad</w:t>
                      </w:r>
                      <w:proofErr w:type="spellEnd"/>
                      <w:r>
                        <w:t>, eigene Darstellung)</w:t>
                      </w:r>
                    </w:p>
                  </w:txbxContent>
                </v:textbox>
                <w10:wrap type="topAndBottom"/>
              </v:shape>
            </w:pict>
          </mc:Fallback>
        </mc:AlternateContent>
      </w:r>
      <w:r w:rsidRPr="004A13F8">
        <w:rPr>
          <w:rFonts w:cs="Arial"/>
          <w:b/>
          <w:bCs/>
          <w:sz w:val="32"/>
          <w:szCs w:val="32"/>
        </w:rPr>
        <w:t>Schaltplan Verteilerschrank</w:t>
      </w:r>
    </w:p>
    <w:p w14:paraId="3C5E9FAF" w14:textId="368BC0FA" w:rsidR="006B5CFB" w:rsidRPr="004A13F8" w:rsidRDefault="004A13F8" w:rsidP="0052036E">
      <w:pPr>
        <w:ind w:left="708"/>
        <w:jc w:val="both"/>
        <w:rPr>
          <w:rFonts w:cs="Arial"/>
          <w:b/>
          <w:bCs/>
          <w:sz w:val="32"/>
          <w:szCs w:val="32"/>
        </w:rPr>
      </w:pPr>
      <w:r w:rsidRPr="004A13F8">
        <w:rPr>
          <w:rFonts w:cs="Arial"/>
          <w:b/>
          <w:bCs/>
          <w:sz w:val="32"/>
          <w:szCs w:val="32"/>
        </w:rPr>
        <w:lastRenderedPageBreak/>
        <w:t>Systemschema – Hybrides 12-V-Energiesystem</w:t>
      </w:r>
    </w:p>
    <w:p w14:paraId="2821CE6E" w14:textId="22DCD6AF" w:rsidR="006B5CFB" w:rsidRDefault="004A13F8" w:rsidP="0052036E">
      <w:pPr>
        <w:ind w:left="708"/>
        <w:jc w:val="both"/>
        <w:rPr>
          <w:rFonts w:cs="Arial"/>
        </w:rPr>
      </w:pPr>
      <w:r>
        <w:rPr>
          <w:noProof/>
        </w:rPr>
        <mc:AlternateContent>
          <mc:Choice Requires="wps">
            <w:drawing>
              <wp:anchor distT="0" distB="0" distL="114300" distR="114300" simplePos="0" relativeHeight="251669504" behindDoc="0" locked="0" layoutInCell="1" allowOverlap="1" wp14:anchorId="45F57009" wp14:editId="6712928D">
                <wp:simplePos x="0" y="0"/>
                <wp:positionH relativeFrom="column">
                  <wp:posOffset>376555</wp:posOffset>
                </wp:positionH>
                <wp:positionV relativeFrom="paragraph">
                  <wp:posOffset>4569884</wp:posOffset>
                </wp:positionV>
                <wp:extent cx="4302760" cy="635"/>
                <wp:effectExtent l="0" t="0" r="2540" b="0"/>
                <wp:wrapTopAndBottom/>
                <wp:docPr id="1869527557" name="Textfeld 1"/>
                <wp:cNvGraphicFramePr/>
                <a:graphic xmlns:a="http://schemas.openxmlformats.org/drawingml/2006/main">
                  <a:graphicData uri="http://schemas.microsoft.com/office/word/2010/wordprocessingShape">
                    <wps:wsp>
                      <wps:cNvSpPr txBox="1"/>
                      <wps:spPr>
                        <a:xfrm>
                          <a:off x="0" y="0"/>
                          <a:ext cx="4302760" cy="635"/>
                        </a:xfrm>
                        <a:prstGeom prst="rect">
                          <a:avLst/>
                        </a:prstGeom>
                        <a:solidFill>
                          <a:prstClr val="white"/>
                        </a:solidFill>
                        <a:ln>
                          <a:noFill/>
                        </a:ln>
                      </wps:spPr>
                      <wps:txbx>
                        <w:txbxContent>
                          <w:p w14:paraId="793B3120" w14:textId="7BF152DD" w:rsidR="004A13F8" w:rsidRPr="00507129" w:rsidRDefault="004A13F8" w:rsidP="004A13F8">
                            <w:pPr>
                              <w:pStyle w:val="Beschriftung"/>
                              <w:rPr>
                                <w:rFonts w:cs="Arial"/>
                                <w:sz w:val="22"/>
                                <w:szCs w:val="22"/>
                              </w:rPr>
                            </w:pPr>
                            <w:r>
                              <w:t xml:space="preserve">Abbildung </w:t>
                            </w:r>
                            <w:r>
                              <w:fldChar w:fldCharType="begin"/>
                            </w:r>
                            <w:r>
                              <w:instrText xml:space="preserve"> SEQ Abbildung \* ARABIC </w:instrText>
                            </w:r>
                            <w:r>
                              <w:fldChar w:fldCharType="separate"/>
                            </w:r>
                            <w:r>
                              <w:rPr>
                                <w:noProof/>
                              </w:rPr>
                              <w:t>3</w:t>
                            </w:r>
                            <w:r>
                              <w:fldChar w:fldCharType="end"/>
                            </w:r>
                            <w:r>
                              <w:t xml:space="preserve">: </w:t>
                            </w:r>
                            <w:r w:rsidRPr="004A13F8">
                              <w:t>Systemschema des hybriden 12-V-Energiesystems (eigene Darstellung)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F57009" id="_x0000_s1028" type="#_x0000_t202" style="position:absolute;left:0;text-align:left;margin-left:29.65pt;margin-top:359.85pt;width:338.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dWr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7m+n844JCkmKLmw+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" stroked="f">
                <v:textbox style="mso-fit-shape-to-text:t" inset="0,0,0,0">
                  <w:txbxContent>
                    <w:p w14:paraId="793B3120" w14:textId="7BF152DD" w:rsidR="004A13F8" w:rsidRPr="00507129" w:rsidRDefault="004A13F8" w:rsidP="004A13F8">
                      <w:pPr>
                        <w:pStyle w:val="Beschriftung"/>
                        <w:rPr>
                          <w:rFonts w:cs="Arial"/>
                          <w:sz w:val="22"/>
                          <w:szCs w:val="22"/>
                        </w:rPr>
                      </w:pPr>
                      <w:r>
                        <w:t xml:space="preserve">Abbildung </w:t>
                      </w:r>
                      <w:r>
                        <w:fldChar w:fldCharType="begin"/>
                      </w:r>
                      <w:r>
                        <w:instrText xml:space="preserve"> SEQ Abbildung \* ARABIC </w:instrText>
                      </w:r>
                      <w:r>
                        <w:fldChar w:fldCharType="separate"/>
                      </w:r>
                      <w:r>
                        <w:rPr>
                          <w:noProof/>
                        </w:rPr>
                        <w:t>3</w:t>
                      </w:r>
                      <w:r>
                        <w:fldChar w:fldCharType="end"/>
                      </w:r>
                      <w:r>
                        <w:t xml:space="preserve">: </w:t>
                      </w:r>
                      <w:r w:rsidRPr="004A13F8">
                        <w:t>Systemschema des hybriden 12-V-Energiesystems (eigene Darstellung)</w:t>
                      </w:r>
                    </w:p>
                  </w:txbxContent>
                </v:textbox>
                <w10:wrap type="topAndBottom"/>
              </v:shape>
            </w:pict>
          </mc:Fallback>
        </mc:AlternateContent>
      </w:r>
      <w:r w:rsidRPr="006B5CFB">
        <w:rPr>
          <w:rFonts w:cs="Arial"/>
        </w:rPr>
        <w:drawing>
          <wp:anchor distT="0" distB="0" distL="114300" distR="114300" simplePos="0" relativeHeight="251667456" behindDoc="0" locked="0" layoutInCell="1" allowOverlap="1" wp14:anchorId="35EEB9A4" wp14:editId="3CAD009F">
            <wp:simplePos x="0" y="0"/>
            <wp:positionH relativeFrom="column">
              <wp:posOffset>-593090</wp:posOffset>
            </wp:positionH>
            <wp:positionV relativeFrom="paragraph">
              <wp:posOffset>266700</wp:posOffset>
            </wp:positionV>
            <wp:extent cx="10462260" cy="4353560"/>
            <wp:effectExtent l="0" t="0" r="0" b="8890"/>
            <wp:wrapTopAndBottom/>
            <wp:docPr id="874136088"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6088" name="Grafik 1" descr="Ein Bild, das Text, Diagramm, Screenshot, Plan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10462260" cy="4353560"/>
                    </a:xfrm>
                    <a:prstGeom prst="rect">
                      <a:avLst/>
                    </a:prstGeom>
                  </pic:spPr>
                </pic:pic>
              </a:graphicData>
            </a:graphic>
            <wp14:sizeRelH relativeFrom="margin">
              <wp14:pctWidth>0</wp14:pctWidth>
            </wp14:sizeRelH>
            <wp14:sizeRelV relativeFrom="margin">
              <wp14:pctHeight>0</wp14:pctHeight>
            </wp14:sizeRelV>
          </wp:anchor>
        </w:drawing>
      </w:r>
    </w:p>
    <w:p w14:paraId="63D9E16C" w14:textId="7EDDED12" w:rsidR="006B5CFB" w:rsidRDefault="006B5CFB" w:rsidP="006B5CFB">
      <w:pPr>
        <w:ind w:left="708"/>
        <w:jc w:val="both"/>
        <w:rPr>
          <w:rFonts w:cs="Arial"/>
        </w:rPr>
      </w:pPr>
    </w:p>
    <w:p w14:paraId="17375C9A" w14:textId="77777777" w:rsidR="006B5CFB" w:rsidRDefault="006B5CFB" w:rsidP="0052036E">
      <w:pPr>
        <w:ind w:left="708"/>
        <w:jc w:val="both"/>
        <w:rPr>
          <w:rFonts w:cs="Arial"/>
        </w:rPr>
        <w:sectPr w:rsidR="006B5CFB" w:rsidSect="006B5CFB">
          <w:pgSz w:w="16838" w:h="11906" w:orient="landscape"/>
          <w:pgMar w:top="1417" w:right="1417" w:bottom="1417" w:left="1134" w:header="708" w:footer="708" w:gutter="0"/>
          <w:cols w:space="708"/>
          <w:docGrid w:linePitch="360"/>
        </w:sectPr>
      </w:pPr>
    </w:p>
    <w:p w14:paraId="1A17CC44" w14:textId="7479CE19" w:rsidR="006B5CFB" w:rsidRPr="006B5CFB" w:rsidRDefault="00E927E3" w:rsidP="006B5CFB">
      <w:pPr>
        <w:pStyle w:val="berschrift2"/>
        <w:spacing w:before="240"/>
      </w:pPr>
      <w:bookmarkStart w:id="34" w:name="_Toc222739164"/>
      <w:r w:rsidRPr="00E927E3">
        <w:lastRenderedPageBreak/>
        <w:t>4.8.1 Systemaufbau und Energiepfad</w:t>
      </w:r>
      <w:bookmarkEnd w:id="34"/>
    </w:p>
    <w:p w14:paraId="244411F8" w14:textId="78AA8CC3" w:rsidR="00E927E3" w:rsidRDefault="00E927E3" w:rsidP="00E927E3">
      <w:pPr>
        <w:ind w:left="708"/>
        <w:jc w:val="both"/>
        <w:rPr>
          <w:rFonts w:cs="Arial"/>
        </w:rPr>
      </w:pPr>
      <w:r w:rsidRPr="00E927E3">
        <w:rPr>
          <w:rFonts w:cs="Arial"/>
        </w:rPr>
        <w:t>Das System ist um einen gemeinsamen 12</w:t>
      </w:r>
      <w:r w:rsidRPr="00E927E3">
        <w:rPr>
          <w:rFonts w:ascii="Arial" w:hAnsi="Arial" w:cs="Arial"/>
        </w:rPr>
        <w:t> </w:t>
      </w:r>
      <w:r w:rsidRPr="00E927E3">
        <w:rPr>
          <w:rFonts w:cs="Arial"/>
        </w:rPr>
        <w:t xml:space="preserve">V-Gleichspannungsbus aufgebaut. Das PV-Modul und die AGM-Batterie sind mit dem Victron MultiPlus 12/800 verbunden, der sowohl als Laderegler als auch als Wechselrichter fungiert. Der Victron Orion 12/12-18 versorgt das Monitoring-System galvanisch getrennt aus demselben Bus. Die Kommunikation zwischen den Victron-Komponenten erfolgt </w:t>
      </w:r>
      <w:r w:rsidRPr="00E927E3">
        <w:rPr>
          <w:rFonts w:ascii="Aptos" w:hAnsi="Aptos" w:cs="Aptos"/>
        </w:rPr>
        <w:t>ü</w:t>
      </w:r>
      <w:r w:rsidRPr="00E927E3">
        <w:rPr>
          <w:rFonts w:cs="Arial"/>
        </w:rPr>
        <w:t xml:space="preserve">ber </w:t>
      </w:r>
      <w:proofErr w:type="spellStart"/>
      <w:r w:rsidRPr="00E927E3">
        <w:rPr>
          <w:rFonts w:cs="Arial"/>
        </w:rPr>
        <w:t>VE.Bus</w:t>
      </w:r>
      <w:proofErr w:type="spellEnd"/>
      <w:r w:rsidRPr="00E927E3">
        <w:rPr>
          <w:rFonts w:cs="Arial"/>
        </w:rPr>
        <w:t xml:space="preserve"> (MultiPlus </w:t>
      </w:r>
      <w:r w:rsidRPr="00E927E3">
        <w:rPr>
          <w:rFonts w:ascii="Aptos" w:hAnsi="Aptos" w:cs="Aptos"/>
        </w:rPr>
        <w:t>–</w:t>
      </w:r>
      <w:r w:rsidRPr="00E927E3">
        <w:rPr>
          <w:rFonts w:cs="Arial"/>
        </w:rPr>
        <w:t xml:space="preserve"> Cerbo GX) sowie </w:t>
      </w:r>
      <w:proofErr w:type="spellStart"/>
      <w:r w:rsidRPr="00E927E3">
        <w:rPr>
          <w:rFonts w:cs="Arial"/>
        </w:rPr>
        <w:t>VE.Direct</w:t>
      </w:r>
      <w:proofErr w:type="spellEnd"/>
      <w:r w:rsidRPr="00E927E3">
        <w:rPr>
          <w:rFonts w:cs="Arial"/>
        </w:rPr>
        <w:t xml:space="preserve"> (SmartShunt </w:t>
      </w:r>
      <w:r w:rsidRPr="00E927E3">
        <w:rPr>
          <w:rFonts w:ascii="Aptos" w:hAnsi="Aptos" w:cs="Aptos"/>
        </w:rPr>
        <w:t>–</w:t>
      </w:r>
      <w:r w:rsidRPr="00E927E3">
        <w:rPr>
          <w:rFonts w:cs="Arial"/>
        </w:rPr>
        <w:t xml:space="preserve"> Cerbo GX).</w:t>
      </w:r>
    </w:p>
    <w:p w14:paraId="5C78D54D" w14:textId="64DAD3B3" w:rsidR="006B5CFB" w:rsidRDefault="006B5CFB" w:rsidP="00E927E3">
      <w:pPr>
        <w:ind w:left="708"/>
        <w:jc w:val="both"/>
        <w:rPr>
          <w:rFonts w:cs="Arial"/>
        </w:rPr>
      </w:pPr>
    </w:p>
    <w:p w14:paraId="4D1C4E42" w14:textId="18463E3B" w:rsidR="006B5CFB" w:rsidRPr="00E927E3" w:rsidRDefault="006B5CFB" w:rsidP="00E927E3">
      <w:pPr>
        <w:ind w:left="708"/>
        <w:jc w:val="both"/>
        <w:rPr>
          <w:rFonts w:cs="Arial"/>
        </w:rPr>
      </w:pPr>
    </w:p>
    <w:p w14:paraId="62721F3F" w14:textId="77777777" w:rsidR="00E927E3" w:rsidRPr="00E927E3" w:rsidRDefault="00E927E3" w:rsidP="00E927E3">
      <w:pPr>
        <w:pStyle w:val="berschrift2"/>
      </w:pPr>
      <w:bookmarkStart w:id="35" w:name="_Toc222739165"/>
      <w:r w:rsidRPr="00E927E3">
        <w:t>4.8.2 Leitungsquerschnitte und Absicherung</w:t>
      </w:r>
      <w:bookmarkEnd w:id="35"/>
    </w:p>
    <w:p w14:paraId="4F25B104" w14:textId="012C2928" w:rsidR="00E927E3" w:rsidRPr="00E927E3" w:rsidRDefault="00E927E3" w:rsidP="00E927E3">
      <w:pPr>
        <w:ind w:left="708"/>
        <w:jc w:val="both"/>
        <w:rPr>
          <w:rFonts w:cs="Arial"/>
        </w:rPr>
      </w:pPr>
      <w:r w:rsidRPr="00E927E3">
        <w:rPr>
          <w:rFonts w:cs="Arial"/>
        </w:rPr>
        <w:t>Die Leitungsquerschnitte wurden nach der Formel A</w:t>
      </w:r>
      <w:r w:rsidRPr="00E927E3">
        <w:rPr>
          <w:rFonts w:ascii="Arial" w:hAnsi="Arial" w:cs="Arial"/>
        </w:rPr>
        <w:t> </w:t>
      </w:r>
      <w:r w:rsidRPr="00E927E3">
        <w:rPr>
          <w:rFonts w:cs="Arial"/>
        </w:rPr>
        <w:t>=</w:t>
      </w:r>
      <w:r w:rsidRPr="00E927E3">
        <w:rPr>
          <w:rFonts w:ascii="Arial" w:hAnsi="Arial" w:cs="Arial"/>
        </w:rPr>
        <w:t> </w:t>
      </w:r>
      <w:r w:rsidRPr="00E927E3">
        <w:rPr>
          <w:rFonts w:cs="Arial"/>
        </w:rPr>
        <w:t>(</w:t>
      </w:r>
      <w:r w:rsidRPr="00E927E3">
        <w:rPr>
          <w:rFonts w:ascii="Aptos" w:hAnsi="Aptos" w:cs="Aptos"/>
        </w:rPr>
        <w:t>ρ</w:t>
      </w:r>
      <w:r w:rsidRPr="00E927E3">
        <w:rPr>
          <w:rFonts w:ascii="Arial" w:hAnsi="Arial" w:cs="Arial"/>
        </w:rPr>
        <w:t> </w:t>
      </w:r>
      <w:r w:rsidRPr="00E927E3">
        <w:rPr>
          <w:rFonts w:ascii="Aptos" w:hAnsi="Aptos" w:cs="Aptos"/>
        </w:rPr>
        <w:t>×</w:t>
      </w:r>
      <w:r w:rsidRPr="00E927E3">
        <w:rPr>
          <w:rFonts w:ascii="Arial" w:hAnsi="Arial" w:cs="Arial"/>
        </w:rPr>
        <w:t> </w:t>
      </w:r>
      <w:r w:rsidRPr="00E927E3">
        <w:rPr>
          <w:rFonts w:cs="Arial"/>
        </w:rPr>
        <w:t>l)</w:t>
      </w:r>
      <w:r w:rsidRPr="00E927E3">
        <w:rPr>
          <w:rFonts w:ascii="Arial" w:hAnsi="Arial" w:cs="Arial"/>
        </w:rPr>
        <w:t> </w:t>
      </w:r>
      <w:r w:rsidRPr="00E927E3">
        <w:rPr>
          <w:rFonts w:cs="Arial"/>
        </w:rPr>
        <w:t>/</w:t>
      </w:r>
      <w:r w:rsidRPr="00E927E3">
        <w:rPr>
          <w:rFonts w:ascii="Arial" w:hAnsi="Arial" w:cs="Arial"/>
        </w:rPr>
        <w:t> </w:t>
      </w:r>
      <w:r w:rsidRPr="00E927E3">
        <w:rPr>
          <w:rFonts w:cs="Arial"/>
        </w:rPr>
        <w:t>R</w:t>
      </w:r>
      <w:r w:rsidRPr="00E927E3">
        <w:rPr>
          <w:rFonts w:ascii="Aptos" w:hAnsi="Aptos" w:cs="Aptos"/>
        </w:rPr>
        <w:t>₅</w:t>
      </w:r>
      <w:r w:rsidRPr="00E927E3">
        <w:rPr>
          <w:rFonts w:ascii="Cambria Math" w:hAnsi="Cambria Math" w:cs="Cambria Math"/>
        </w:rPr>
        <w:t>ₖₓ</w:t>
      </w:r>
      <w:r w:rsidRPr="00E927E3">
        <w:rPr>
          <w:rFonts w:cs="Arial"/>
        </w:rPr>
        <w:t xml:space="preserve"> berechnet, wobei </w:t>
      </w:r>
      <w:r w:rsidRPr="00E927E3">
        <w:rPr>
          <w:rFonts w:ascii="Aptos" w:hAnsi="Aptos" w:cs="Aptos"/>
        </w:rPr>
        <w:t>ρ</w:t>
      </w:r>
      <w:r w:rsidRPr="00E927E3">
        <w:rPr>
          <w:rFonts w:cs="Arial"/>
        </w:rPr>
        <w:t xml:space="preserve"> den spezifischen Widerstand von Kupfer (0,0175</w:t>
      </w:r>
      <w:r w:rsidRPr="00E927E3">
        <w:rPr>
          <w:rFonts w:ascii="Arial" w:hAnsi="Arial" w:cs="Arial"/>
        </w:rPr>
        <w:t> </w:t>
      </w:r>
      <w:r w:rsidRPr="00E927E3">
        <w:rPr>
          <w:rFonts w:ascii="Aptos" w:hAnsi="Aptos" w:cs="Aptos"/>
        </w:rPr>
        <w:t>Ω·</w:t>
      </w:r>
      <w:r w:rsidRPr="00E927E3">
        <w:rPr>
          <w:rFonts w:cs="Arial"/>
        </w:rPr>
        <w:t>mm</w:t>
      </w:r>
      <w:r w:rsidRPr="00E927E3">
        <w:rPr>
          <w:rFonts w:ascii="Aptos" w:hAnsi="Aptos" w:cs="Aptos"/>
        </w:rPr>
        <w:t>²</w:t>
      </w:r>
      <w:r w:rsidRPr="00E927E3">
        <w:rPr>
          <w:rFonts w:cs="Arial"/>
        </w:rPr>
        <w:t>/m), l die Leitungsl</w:t>
      </w:r>
      <w:r w:rsidRPr="00E927E3">
        <w:rPr>
          <w:rFonts w:ascii="Aptos" w:hAnsi="Aptos" w:cs="Aptos"/>
        </w:rPr>
        <w:t>ä</w:t>
      </w:r>
      <w:r w:rsidRPr="00E927E3">
        <w:rPr>
          <w:rFonts w:cs="Arial"/>
        </w:rPr>
        <w:t>nge (Hin- und R</w:t>
      </w:r>
      <w:r w:rsidRPr="00E927E3">
        <w:rPr>
          <w:rFonts w:ascii="Aptos" w:hAnsi="Aptos" w:cs="Aptos"/>
        </w:rPr>
        <w:t>ü</w:t>
      </w:r>
      <w:r w:rsidRPr="00E927E3">
        <w:rPr>
          <w:rFonts w:cs="Arial"/>
        </w:rPr>
        <w:t>ckleiter) und R</w:t>
      </w:r>
      <w:r w:rsidRPr="00E927E3">
        <w:rPr>
          <w:rFonts w:ascii="Aptos" w:hAnsi="Aptos" w:cs="Aptos"/>
        </w:rPr>
        <w:t>₅</w:t>
      </w:r>
      <w:r w:rsidRPr="00E927E3">
        <w:rPr>
          <w:rFonts w:ascii="Cambria Math" w:hAnsi="Cambria Math" w:cs="Cambria Math"/>
        </w:rPr>
        <w:t>ₖₓ</w:t>
      </w:r>
      <w:r w:rsidRPr="00E927E3">
        <w:rPr>
          <w:rFonts w:cs="Arial"/>
        </w:rPr>
        <w:t xml:space="preserve"> den maximal zul</w:t>
      </w:r>
      <w:r w:rsidRPr="00E927E3">
        <w:rPr>
          <w:rFonts w:ascii="Aptos" w:hAnsi="Aptos" w:cs="Aptos"/>
        </w:rPr>
        <w:t>ä</w:t>
      </w:r>
      <w:r w:rsidRPr="00E927E3">
        <w:rPr>
          <w:rFonts w:cs="Arial"/>
        </w:rPr>
        <w:t>ssigen Leitungswiderstand bezeichnet.</w:t>
      </w:r>
    </w:p>
    <w:p w14:paraId="7404CD54" w14:textId="41AAE74F" w:rsidR="00E927E3" w:rsidRPr="00E927E3" w:rsidRDefault="00E927E3" w:rsidP="00E927E3">
      <w:pPr>
        <w:ind w:left="708"/>
        <w:jc w:val="both"/>
        <w:rPr>
          <w:rFonts w:cs="Arial"/>
        </w:rPr>
      </w:pPr>
      <w:r w:rsidRPr="00E927E3">
        <w:rPr>
          <w:rFonts w:cs="Arial"/>
        </w:rPr>
        <w:t>Für die Gleichstromverbindung zwischen Batterie und MultiPlus ergibt sich bei einem maximalen Ladestrom von 35</w:t>
      </w:r>
      <w:r w:rsidRPr="00E927E3">
        <w:rPr>
          <w:rFonts w:ascii="Arial" w:hAnsi="Arial" w:cs="Arial"/>
        </w:rPr>
        <w:t> </w:t>
      </w:r>
      <w:r w:rsidRPr="00E927E3">
        <w:rPr>
          <w:rFonts w:cs="Arial"/>
        </w:rPr>
        <w:t>A, einer Leitungsl</w:t>
      </w:r>
      <w:r w:rsidRPr="00E927E3">
        <w:rPr>
          <w:rFonts w:ascii="Aptos" w:hAnsi="Aptos" w:cs="Aptos"/>
        </w:rPr>
        <w:t>ä</w:t>
      </w:r>
      <w:r w:rsidRPr="00E927E3">
        <w:rPr>
          <w:rFonts w:cs="Arial"/>
        </w:rPr>
        <w:t>nge von 0,5</w:t>
      </w:r>
      <w:r w:rsidRPr="00E927E3">
        <w:rPr>
          <w:rFonts w:ascii="Arial" w:hAnsi="Arial" w:cs="Arial"/>
        </w:rPr>
        <w:t> </w:t>
      </w:r>
      <w:r w:rsidRPr="00E927E3">
        <w:rPr>
          <w:rFonts w:cs="Arial"/>
        </w:rPr>
        <w:t>m (1</w:t>
      </w:r>
      <w:r w:rsidRPr="00E927E3">
        <w:rPr>
          <w:rFonts w:ascii="Arial" w:hAnsi="Arial" w:cs="Arial"/>
        </w:rPr>
        <w:t> </w:t>
      </w:r>
      <w:r w:rsidRPr="00E927E3">
        <w:rPr>
          <w:rFonts w:cs="Arial"/>
        </w:rPr>
        <w:t>m Hin- und R</w:t>
      </w:r>
      <w:r w:rsidRPr="00E927E3">
        <w:rPr>
          <w:rFonts w:ascii="Aptos" w:hAnsi="Aptos" w:cs="Aptos"/>
        </w:rPr>
        <w:t>ü</w:t>
      </w:r>
      <w:r w:rsidRPr="00E927E3">
        <w:rPr>
          <w:rFonts w:cs="Arial"/>
        </w:rPr>
        <w:t>ckleiter) und einem maximal zul</w:t>
      </w:r>
      <w:r w:rsidRPr="00E927E3">
        <w:rPr>
          <w:rFonts w:ascii="Aptos" w:hAnsi="Aptos" w:cs="Aptos"/>
        </w:rPr>
        <w:t>ä</w:t>
      </w:r>
      <w:r w:rsidRPr="00E927E3">
        <w:rPr>
          <w:rFonts w:cs="Arial"/>
        </w:rPr>
        <w:t>ssigen Spannungsabfall von 1</w:t>
      </w:r>
      <w:r w:rsidRPr="00E927E3">
        <w:rPr>
          <w:rFonts w:ascii="Arial" w:hAnsi="Arial" w:cs="Arial"/>
        </w:rPr>
        <w:t> </w:t>
      </w:r>
      <w:r w:rsidRPr="00E927E3">
        <w:rPr>
          <w:rFonts w:cs="Arial"/>
        </w:rPr>
        <w:t>% (0,12</w:t>
      </w:r>
      <w:r w:rsidRPr="00E927E3">
        <w:rPr>
          <w:rFonts w:ascii="Arial" w:hAnsi="Arial" w:cs="Arial"/>
        </w:rPr>
        <w:t> </w:t>
      </w:r>
      <w:r w:rsidRPr="00E927E3">
        <w:rPr>
          <w:rFonts w:cs="Arial"/>
        </w:rPr>
        <w:t>V) ein Mindestquerschnitt von 5,10</w:t>
      </w:r>
      <w:r w:rsidRPr="00E927E3">
        <w:rPr>
          <w:rFonts w:ascii="Arial" w:hAnsi="Arial" w:cs="Arial"/>
        </w:rPr>
        <w:t> </w:t>
      </w:r>
      <w:r w:rsidRPr="00E927E3">
        <w:rPr>
          <w:rFonts w:cs="Arial"/>
        </w:rPr>
        <w:t>mm</w:t>
      </w:r>
      <w:r w:rsidRPr="00E927E3">
        <w:rPr>
          <w:rFonts w:ascii="Aptos" w:hAnsi="Aptos" w:cs="Aptos"/>
        </w:rPr>
        <w:t>²</w:t>
      </w:r>
      <w:r w:rsidRPr="00E927E3">
        <w:rPr>
          <w:rFonts w:cs="Arial"/>
        </w:rPr>
        <w:t>. Es wurde daher der n</w:t>
      </w:r>
      <w:r w:rsidRPr="00E927E3">
        <w:rPr>
          <w:rFonts w:ascii="Aptos" w:hAnsi="Aptos" w:cs="Aptos"/>
        </w:rPr>
        <w:t>ä</w:t>
      </w:r>
      <w:r w:rsidRPr="00E927E3">
        <w:rPr>
          <w:rFonts w:cs="Arial"/>
        </w:rPr>
        <w:t>chste Normquerschnitt von 6</w:t>
      </w:r>
      <w:r w:rsidRPr="00E927E3">
        <w:rPr>
          <w:rFonts w:ascii="Arial" w:hAnsi="Arial" w:cs="Arial"/>
        </w:rPr>
        <w:t> </w:t>
      </w:r>
      <w:r w:rsidRPr="00E927E3">
        <w:rPr>
          <w:rFonts w:cs="Arial"/>
        </w:rPr>
        <w:t>mm</w:t>
      </w:r>
      <w:r w:rsidRPr="00E927E3">
        <w:rPr>
          <w:rFonts w:ascii="Aptos" w:hAnsi="Aptos" w:cs="Aptos"/>
        </w:rPr>
        <w:t>²</w:t>
      </w:r>
      <w:r w:rsidRPr="00E927E3">
        <w:rPr>
          <w:rFonts w:cs="Arial"/>
        </w:rPr>
        <w:t xml:space="preserve"> gew</w:t>
      </w:r>
      <w:r w:rsidRPr="00E927E3">
        <w:rPr>
          <w:rFonts w:ascii="Aptos" w:hAnsi="Aptos" w:cs="Aptos"/>
        </w:rPr>
        <w:t>ä</w:t>
      </w:r>
      <w:r w:rsidRPr="00E927E3">
        <w:rPr>
          <w:rFonts w:cs="Arial"/>
        </w:rPr>
        <w:t>hlt, womit der tats</w:t>
      </w:r>
      <w:r w:rsidRPr="00E927E3">
        <w:rPr>
          <w:rFonts w:ascii="Aptos" w:hAnsi="Aptos" w:cs="Aptos"/>
        </w:rPr>
        <w:t>ä</w:t>
      </w:r>
      <w:r w:rsidRPr="00E927E3">
        <w:rPr>
          <w:rFonts w:cs="Arial"/>
        </w:rPr>
        <w:t>chliche Spannungsabfall bei 0,85</w:t>
      </w:r>
      <w:r w:rsidRPr="00E927E3">
        <w:rPr>
          <w:rFonts w:ascii="Arial" w:hAnsi="Arial" w:cs="Arial"/>
        </w:rPr>
        <w:t> </w:t>
      </w:r>
      <w:r w:rsidRPr="00E927E3">
        <w:rPr>
          <w:rFonts w:cs="Arial"/>
        </w:rPr>
        <w:t>% liegt.</w:t>
      </w:r>
    </w:p>
    <w:p w14:paraId="7745F86A" w14:textId="77777777" w:rsidR="00E927E3" w:rsidRPr="00E927E3" w:rsidRDefault="00E927E3" w:rsidP="00E927E3">
      <w:pPr>
        <w:ind w:left="708"/>
        <w:jc w:val="both"/>
        <w:rPr>
          <w:rFonts w:cs="Arial"/>
        </w:rPr>
      </w:pPr>
      <w:r w:rsidRPr="00E927E3">
        <w:rPr>
          <w:rFonts w:cs="Arial"/>
        </w:rPr>
        <w:t>Für die Wechselstromverkabelung zwischen MultiPlus und der Anschlussbuchse ergibt sich bei einer Leitungslänge von 0,5</w:t>
      </w:r>
      <w:r w:rsidRPr="00E927E3">
        <w:rPr>
          <w:rFonts w:ascii="Arial" w:hAnsi="Arial" w:cs="Arial"/>
        </w:rPr>
        <w:t> </w:t>
      </w:r>
      <w:r w:rsidRPr="00E927E3">
        <w:rPr>
          <w:rFonts w:cs="Arial"/>
        </w:rPr>
        <w:t>m und einer maximalen Ausgangsleistung von 700</w:t>
      </w:r>
      <w:r w:rsidRPr="00E927E3">
        <w:rPr>
          <w:rFonts w:ascii="Arial" w:hAnsi="Arial" w:cs="Arial"/>
        </w:rPr>
        <w:t> </w:t>
      </w:r>
      <w:r w:rsidRPr="00E927E3">
        <w:rPr>
          <w:rFonts w:cs="Arial"/>
        </w:rPr>
        <w:t>W (3,04</w:t>
      </w:r>
      <w:r w:rsidRPr="00E927E3">
        <w:rPr>
          <w:rFonts w:ascii="Arial" w:hAnsi="Arial" w:cs="Arial"/>
        </w:rPr>
        <w:t> </w:t>
      </w:r>
      <w:r w:rsidRPr="00E927E3">
        <w:rPr>
          <w:rFonts w:cs="Arial"/>
        </w:rPr>
        <w:t>A bei 230</w:t>
      </w:r>
      <w:r w:rsidRPr="00E927E3">
        <w:rPr>
          <w:rFonts w:ascii="Arial" w:hAnsi="Arial" w:cs="Arial"/>
        </w:rPr>
        <w:t> </w:t>
      </w:r>
      <w:r w:rsidRPr="00E927E3">
        <w:rPr>
          <w:rFonts w:cs="Arial"/>
        </w:rPr>
        <w:t>V) ein rechnerisch sehr geringer Mindestquerschnitt. Es wurde der normativ vorgeschriebene Mindestquerschnitt von 1,5</w:t>
      </w:r>
      <w:r w:rsidRPr="00E927E3">
        <w:rPr>
          <w:rFonts w:ascii="Arial" w:hAnsi="Arial" w:cs="Arial"/>
        </w:rPr>
        <w:t> </w:t>
      </w:r>
      <w:r w:rsidRPr="00E927E3">
        <w:rPr>
          <w:rFonts w:cs="Arial"/>
        </w:rPr>
        <w:t>mm</w:t>
      </w:r>
      <w:r w:rsidRPr="00E927E3">
        <w:rPr>
          <w:rFonts w:ascii="Aptos" w:hAnsi="Aptos" w:cs="Aptos"/>
        </w:rPr>
        <w:t>²</w:t>
      </w:r>
      <w:r w:rsidRPr="00E927E3">
        <w:rPr>
          <w:rFonts w:cs="Arial"/>
        </w:rPr>
        <w:t xml:space="preserve"> f</w:t>
      </w:r>
      <w:r w:rsidRPr="00E927E3">
        <w:rPr>
          <w:rFonts w:ascii="Aptos" w:hAnsi="Aptos" w:cs="Aptos"/>
        </w:rPr>
        <w:t>ü</w:t>
      </w:r>
      <w:r w:rsidRPr="00E927E3">
        <w:rPr>
          <w:rFonts w:cs="Arial"/>
        </w:rPr>
        <w:t>r Festinstallationen gew</w:t>
      </w:r>
      <w:r w:rsidRPr="00E927E3">
        <w:rPr>
          <w:rFonts w:ascii="Aptos" w:hAnsi="Aptos" w:cs="Aptos"/>
        </w:rPr>
        <w:t>ä</w:t>
      </w:r>
      <w:r w:rsidRPr="00E927E3">
        <w:rPr>
          <w:rFonts w:cs="Arial"/>
        </w:rPr>
        <w:t>hlt, der mit einem Spannungsabfall von unter 0,02</w:t>
      </w:r>
      <w:r w:rsidRPr="00E927E3">
        <w:rPr>
          <w:rFonts w:ascii="Arial" w:hAnsi="Arial" w:cs="Arial"/>
        </w:rPr>
        <w:t> </w:t>
      </w:r>
      <w:r w:rsidRPr="00E927E3">
        <w:rPr>
          <w:rFonts w:cs="Arial"/>
        </w:rPr>
        <w:t>% weit unterhalb der zul</w:t>
      </w:r>
      <w:r w:rsidRPr="00E927E3">
        <w:rPr>
          <w:rFonts w:ascii="Aptos" w:hAnsi="Aptos" w:cs="Aptos"/>
        </w:rPr>
        <w:t>ä</w:t>
      </w:r>
      <w:r w:rsidRPr="00E927E3">
        <w:rPr>
          <w:rFonts w:cs="Arial"/>
        </w:rPr>
        <w:t>ssigen 3</w:t>
      </w:r>
      <w:r w:rsidRPr="00E927E3">
        <w:rPr>
          <w:rFonts w:ascii="Arial" w:hAnsi="Arial" w:cs="Arial"/>
        </w:rPr>
        <w:t> </w:t>
      </w:r>
      <w:r w:rsidRPr="00E927E3">
        <w:rPr>
          <w:rFonts w:cs="Arial"/>
        </w:rPr>
        <w:t>% liegt.</w:t>
      </w:r>
    </w:p>
    <w:p w14:paraId="5257DFBC" w14:textId="77777777" w:rsidR="00E927E3" w:rsidRPr="00E927E3" w:rsidRDefault="00E927E3" w:rsidP="00E927E3">
      <w:pPr>
        <w:ind w:left="708"/>
        <w:jc w:val="both"/>
        <w:rPr>
          <w:rFonts w:cs="Arial"/>
        </w:rPr>
      </w:pPr>
      <w:r w:rsidRPr="00E927E3">
        <w:rPr>
          <w:rFonts w:cs="Arial"/>
        </w:rPr>
        <w:t>Die Absicherung des Gleichstromkreises erfolgt durch zwei 30</w:t>
      </w:r>
      <w:r w:rsidRPr="00E927E3">
        <w:rPr>
          <w:rFonts w:ascii="Arial" w:hAnsi="Arial" w:cs="Arial"/>
        </w:rPr>
        <w:t> </w:t>
      </w:r>
      <w:r w:rsidRPr="00E927E3">
        <w:rPr>
          <w:rFonts w:cs="Arial"/>
        </w:rPr>
        <w:t>A-Sicherungen in Reihe: eine Blade-Sicherung direkt am Batteriepol sowie ein Sicherungshalter vor dem MultiPlus. Die Auslegung auf 30</w:t>
      </w:r>
      <w:r w:rsidRPr="00E927E3">
        <w:rPr>
          <w:rFonts w:ascii="Arial" w:hAnsi="Arial" w:cs="Arial"/>
        </w:rPr>
        <w:t> </w:t>
      </w:r>
      <w:r w:rsidRPr="00E927E3">
        <w:rPr>
          <w:rFonts w:cs="Arial"/>
        </w:rPr>
        <w:t>A ber</w:t>
      </w:r>
      <w:r w:rsidRPr="00E927E3">
        <w:rPr>
          <w:rFonts w:ascii="Aptos" w:hAnsi="Aptos" w:cs="Aptos"/>
        </w:rPr>
        <w:t>ü</w:t>
      </w:r>
      <w:r w:rsidRPr="00E927E3">
        <w:rPr>
          <w:rFonts w:cs="Arial"/>
        </w:rPr>
        <w:t>cksichtigt den maximalen Ladestrom des MultiPlus von 35</w:t>
      </w:r>
      <w:r w:rsidRPr="00E927E3">
        <w:rPr>
          <w:rFonts w:ascii="Arial" w:hAnsi="Arial" w:cs="Arial"/>
        </w:rPr>
        <w:t> </w:t>
      </w:r>
      <w:r w:rsidRPr="00E927E3">
        <w:rPr>
          <w:rFonts w:cs="Arial"/>
        </w:rPr>
        <w:t>A und sch</w:t>
      </w:r>
      <w:r w:rsidRPr="00E927E3">
        <w:rPr>
          <w:rFonts w:ascii="Aptos" w:hAnsi="Aptos" w:cs="Aptos"/>
        </w:rPr>
        <w:t>ü</w:t>
      </w:r>
      <w:r w:rsidRPr="00E927E3">
        <w:rPr>
          <w:rFonts w:cs="Arial"/>
        </w:rPr>
        <w:t>tzt gleichzeitig den gew</w:t>
      </w:r>
      <w:r w:rsidRPr="00E927E3">
        <w:rPr>
          <w:rFonts w:ascii="Aptos" w:hAnsi="Aptos" w:cs="Aptos"/>
        </w:rPr>
        <w:t>ä</w:t>
      </w:r>
      <w:r w:rsidRPr="00E927E3">
        <w:rPr>
          <w:rFonts w:cs="Arial"/>
        </w:rPr>
        <w:t>hlten Leitungsquerschnitt von 6</w:t>
      </w:r>
      <w:r w:rsidRPr="00E927E3">
        <w:rPr>
          <w:rFonts w:ascii="Arial" w:hAnsi="Arial" w:cs="Arial"/>
        </w:rPr>
        <w:t> </w:t>
      </w:r>
      <w:r w:rsidRPr="00E927E3">
        <w:rPr>
          <w:rFonts w:cs="Arial"/>
        </w:rPr>
        <w:t>mm</w:t>
      </w:r>
      <w:r w:rsidRPr="00E927E3">
        <w:rPr>
          <w:rFonts w:ascii="Aptos" w:hAnsi="Aptos" w:cs="Aptos"/>
        </w:rPr>
        <w:t>²</w:t>
      </w:r>
      <w:r w:rsidRPr="00E927E3">
        <w:rPr>
          <w:rFonts w:cs="Arial"/>
        </w:rPr>
        <w:t xml:space="preserve"> zuverl</w:t>
      </w:r>
      <w:r w:rsidRPr="00E927E3">
        <w:rPr>
          <w:rFonts w:ascii="Aptos" w:hAnsi="Aptos" w:cs="Aptos"/>
        </w:rPr>
        <w:t>ä</w:t>
      </w:r>
      <w:r w:rsidRPr="00E927E3">
        <w:rPr>
          <w:rFonts w:cs="Arial"/>
        </w:rPr>
        <w:t xml:space="preserve">ssig vor </w:t>
      </w:r>
      <w:r w:rsidRPr="00E927E3">
        <w:rPr>
          <w:rFonts w:ascii="Aptos" w:hAnsi="Aptos" w:cs="Aptos"/>
        </w:rPr>
        <w:t>Ü</w:t>
      </w:r>
      <w:r w:rsidRPr="00E927E3">
        <w:rPr>
          <w:rFonts w:cs="Arial"/>
        </w:rPr>
        <w:t>berlast [1].</w:t>
      </w:r>
    </w:p>
    <w:p w14:paraId="102F186D" w14:textId="77777777" w:rsidR="00E927E3" w:rsidRPr="00E927E3" w:rsidRDefault="00E927E3" w:rsidP="00E927E3">
      <w:pPr>
        <w:ind w:left="708"/>
        <w:jc w:val="both"/>
        <w:rPr>
          <w:rFonts w:cs="Arial"/>
          <w:b/>
          <w:bCs/>
        </w:rPr>
      </w:pPr>
      <w:r w:rsidRPr="00E927E3">
        <w:rPr>
          <w:rFonts w:cs="Arial"/>
          <w:b/>
          <w:bCs/>
        </w:rPr>
        <w:t>Quellenverzeichnis</w:t>
      </w:r>
    </w:p>
    <w:p w14:paraId="79C8BB00" w14:textId="77777777" w:rsidR="00E927E3" w:rsidRPr="00E927E3" w:rsidRDefault="00E927E3" w:rsidP="00E927E3">
      <w:pPr>
        <w:ind w:left="708"/>
        <w:jc w:val="both"/>
        <w:rPr>
          <w:rFonts w:cs="Arial"/>
        </w:rPr>
      </w:pPr>
      <w:r w:rsidRPr="00E927E3">
        <w:rPr>
          <w:rFonts w:cs="Arial"/>
        </w:rPr>
        <w:t>[1]</w:t>
      </w:r>
      <w:r w:rsidRPr="00E927E3">
        <w:rPr>
          <w:rFonts w:cs="Arial"/>
        </w:rPr>
        <w:tab/>
        <w:t>Victron Energy, „MultiPlus 12/800/35-16 Datenblatt,“ Victron Energy B.V. [Online]. Verfügbar: https://www.victronenergy.com/inverters-chargers/multiplus</w:t>
      </w:r>
    </w:p>
    <w:p w14:paraId="24BAF20D" w14:textId="77777777" w:rsidR="00E927E3" w:rsidRPr="00E927E3" w:rsidRDefault="00E927E3" w:rsidP="00E927E3">
      <w:pPr>
        <w:ind w:left="708"/>
        <w:jc w:val="both"/>
        <w:rPr>
          <w:rFonts w:cs="Arial"/>
        </w:rPr>
      </w:pPr>
      <w:r w:rsidRPr="00E927E3">
        <w:rPr>
          <w:rFonts w:cs="Arial"/>
        </w:rPr>
        <w:t>[2]</w:t>
      </w:r>
      <w:r w:rsidRPr="00E927E3">
        <w:rPr>
          <w:rFonts w:cs="Arial"/>
        </w:rPr>
        <w:tab/>
        <w:t>Victron Energy, „SmartShunt 500A Datenblatt,“ Victron Energy B.V. [Online]. Verfügbar: https://www.victronenergy.com/battery-monitors/smart-battery-shunt</w:t>
      </w:r>
    </w:p>
    <w:p w14:paraId="32E4AAB9" w14:textId="77777777" w:rsidR="00E927E3" w:rsidRPr="00E927E3" w:rsidRDefault="00E927E3" w:rsidP="00E927E3">
      <w:pPr>
        <w:ind w:left="708"/>
        <w:jc w:val="both"/>
        <w:rPr>
          <w:rFonts w:cs="Arial"/>
        </w:rPr>
      </w:pPr>
      <w:r w:rsidRPr="00E927E3">
        <w:rPr>
          <w:rFonts w:cs="Arial"/>
          <w:lang w:val="en-GB"/>
        </w:rPr>
        <w:t>[3]</w:t>
      </w:r>
      <w:r w:rsidRPr="00E927E3">
        <w:rPr>
          <w:rFonts w:cs="Arial"/>
          <w:lang w:val="en-GB"/>
        </w:rPr>
        <w:tab/>
        <w:t xml:space="preserve">Victron Energy, „Cerbo GX </w:t>
      </w:r>
      <w:proofErr w:type="spellStart"/>
      <w:proofErr w:type="gramStart"/>
      <w:r w:rsidRPr="00E927E3">
        <w:rPr>
          <w:rFonts w:cs="Arial"/>
          <w:lang w:val="en-GB"/>
        </w:rPr>
        <w:t>Handbuch</w:t>
      </w:r>
      <w:proofErr w:type="spellEnd"/>
      <w:r w:rsidRPr="00E927E3">
        <w:rPr>
          <w:rFonts w:cs="Arial"/>
          <w:lang w:val="en-GB"/>
        </w:rPr>
        <w:t>,“</w:t>
      </w:r>
      <w:proofErr w:type="gramEnd"/>
      <w:r w:rsidRPr="00E927E3">
        <w:rPr>
          <w:rFonts w:cs="Arial"/>
          <w:lang w:val="en-GB"/>
        </w:rPr>
        <w:t xml:space="preserve"> Victron Energy B.V. [Online]. </w:t>
      </w:r>
      <w:r w:rsidRPr="00E927E3">
        <w:rPr>
          <w:rFonts w:cs="Arial"/>
        </w:rPr>
        <w:t>Verfügbar: https://www.victronenergy.com/communication-centres/cerbo-gx</w:t>
      </w:r>
    </w:p>
    <w:p w14:paraId="0976586C" w14:textId="77777777" w:rsidR="00E927E3" w:rsidRPr="00E927E3" w:rsidRDefault="00E927E3" w:rsidP="00E927E3">
      <w:pPr>
        <w:ind w:left="708"/>
        <w:jc w:val="both"/>
        <w:rPr>
          <w:rFonts w:cs="Arial"/>
        </w:rPr>
      </w:pPr>
      <w:r w:rsidRPr="00E927E3">
        <w:rPr>
          <w:rFonts w:cs="Arial"/>
        </w:rPr>
        <w:t>[4]</w:t>
      </w:r>
      <w:r w:rsidRPr="00E927E3">
        <w:rPr>
          <w:rFonts w:cs="Arial"/>
        </w:rPr>
        <w:tab/>
        <w:t>Victron Energy, „Orion-</w:t>
      </w:r>
      <w:proofErr w:type="spellStart"/>
      <w:r w:rsidRPr="00E927E3">
        <w:rPr>
          <w:rFonts w:cs="Arial"/>
        </w:rPr>
        <w:t>Tr</w:t>
      </w:r>
      <w:proofErr w:type="spellEnd"/>
      <w:r w:rsidRPr="00E927E3">
        <w:rPr>
          <w:rFonts w:cs="Arial"/>
        </w:rPr>
        <w:t xml:space="preserve"> Smart DC-DC Charger Datenblatt,“ Victron Energy B.V. [Online]. Verfügbar: https://www.victronenergy.com/dc-dc-converters/orion-tr-smart</w:t>
      </w:r>
    </w:p>
    <w:p w14:paraId="1C2AD937" w14:textId="77777777" w:rsidR="00E927E3" w:rsidRPr="00E927E3" w:rsidRDefault="00E927E3" w:rsidP="00E927E3">
      <w:pPr>
        <w:ind w:left="708"/>
        <w:jc w:val="both"/>
        <w:rPr>
          <w:rFonts w:cs="Arial"/>
        </w:rPr>
      </w:pPr>
      <w:r w:rsidRPr="00E927E3">
        <w:rPr>
          <w:rFonts w:cs="Arial"/>
        </w:rPr>
        <w:t>[5]</w:t>
      </w:r>
      <w:r w:rsidRPr="00E927E3">
        <w:rPr>
          <w:rFonts w:cs="Arial"/>
        </w:rPr>
        <w:tab/>
      </w:r>
      <w:proofErr w:type="spellStart"/>
      <w:r w:rsidRPr="00E927E3">
        <w:rPr>
          <w:rFonts w:cs="Arial"/>
        </w:rPr>
        <w:t>KiCad</w:t>
      </w:r>
      <w:proofErr w:type="spellEnd"/>
      <w:r w:rsidRPr="00E927E3">
        <w:rPr>
          <w:rFonts w:cs="Arial"/>
        </w:rPr>
        <w:t xml:space="preserve"> EDA, „</w:t>
      </w:r>
      <w:proofErr w:type="spellStart"/>
      <w:r w:rsidRPr="00E927E3">
        <w:rPr>
          <w:rFonts w:cs="Arial"/>
        </w:rPr>
        <w:t>KiCad</w:t>
      </w:r>
      <w:proofErr w:type="spellEnd"/>
      <w:r w:rsidRPr="00E927E3">
        <w:rPr>
          <w:rFonts w:cs="Arial"/>
        </w:rPr>
        <w:t xml:space="preserve"> E.D.A. Version 9.0.5,“ </w:t>
      </w:r>
      <w:proofErr w:type="spellStart"/>
      <w:r w:rsidRPr="00E927E3">
        <w:rPr>
          <w:rFonts w:cs="Arial"/>
        </w:rPr>
        <w:t>KiCad</w:t>
      </w:r>
      <w:proofErr w:type="spellEnd"/>
      <w:r w:rsidRPr="00E927E3">
        <w:rPr>
          <w:rFonts w:cs="Arial"/>
        </w:rPr>
        <w:t xml:space="preserve"> Services Corporation. [Online]. Verfügbar: https://www.kicad.org</w:t>
      </w:r>
    </w:p>
    <w:p w14:paraId="3CE77100" w14:textId="77777777" w:rsidR="003A0571" w:rsidRDefault="003A0571" w:rsidP="003D6115">
      <w:pPr>
        <w:ind w:left="708"/>
        <w:jc w:val="both"/>
        <w:rPr>
          <w:rFonts w:cs="Arial"/>
        </w:rPr>
      </w:pPr>
    </w:p>
    <w:p w14:paraId="53C74B95" w14:textId="77777777" w:rsidR="003A0571" w:rsidRDefault="003A0571" w:rsidP="003D6115">
      <w:pPr>
        <w:ind w:left="708"/>
        <w:jc w:val="both"/>
        <w:rPr>
          <w:rFonts w:cs="Arial"/>
        </w:rPr>
      </w:pPr>
    </w:p>
    <w:p w14:paraId="2EF3DDD7" w14:textId="77777777" w:rsidR="003A0571" w:rsidRDefault="003A0571" w:rsidP="003D6115">
      <w:pPr>
        <w:ind w:left="708"/>
        <w:jc w:val="both"/>
        <w:rPr>
          <w:rFonts w:cs="Arial"/>
        </w:rPr>
      </w:pPr>
    </w:p>
    <w:p w14:paraId="3A96C7FC" w14:textId="77777777" w:rsidR="003A0571" w:rsidRDefault="003A0571" w:rsidP="003D6115">
      <w:pPr>
        <w:ind w:left="708"/>
        <w:jc w:val="both"/>
        <w:rPr>
          <w:rFonts w:cs="Arial"/>
        </w:rPr>
      </w:pPr>
    </w:p>
    <w:p w14:paraId="5B3863DA" w14:textId="77777777" w:rsidR="006A38A0" w:rsidRPr="006A38A0" w:rsidRDefault="006A38A0" w:rsidP="006A38A0">
      <w:pPr>
        <w:pStyle w:val="berschrift1"/>
      </w:pPr>
      <w:bookmarkStart w:id="36" w:name="_Toc222739166"/>
      <w:r w:rsidRPr="006A38A0">
        <w:t>4.9 Zusammenfassung und Ausblick</w:t>
      </w:r>
      <w:bookmarkEnd w:id="36"/>
    </w:p>
    <w:p w14:paraId="1D5B8E52" w14:textId="77777777" w:rsidR="006A38A0" w:rsidRPr="006A38A0" w:rsidRDefault="006A38A0" w:rsidP="006A38A0">
      <w:pPr>
        <w:ind w:left="708"/>
        <w:jc w:val="both"/>
        <w:rPr>
          <w:rFonts w:cs="Arial"/>
        </w:rPr>
      </w:pPr>
      <w:r w:rsidRPr="006A38A0">
        <w:rPr>
          <w:rFonts w:cs="Arial"/>
        </w:rPr>
        <w:t>Das Ziel dieses Teils der Diplomarbeit war der Aufbau und die Inbetriebnahme eines hybriden Energie-Management-Systems für ein automatisiertes Gewächshaus sowie die wirtschaftliche Bewertung des Konzepts. Im Folgenden werden die erreichten Ergebnisse bewertet und Potenziale für eine Weiterentwicklung aufgezeigt.</w:t>
      </w:r>
    </w:p>
    <w:p w14:paraId="5C6F9762" w14:textId="77777777" w:rsidR="006A38A0" w:rsidRPr="006A38A0" w:rsidRDefault="006A38A0" w:rsidP="006A38A0">
      <w:pPr>
        <w:pStyle w:val="berschrift2"/>
      </w:pPr>
      <w:bookmarkStart w:id="37" w:name="_Toc222739167"/>
      <w:r w:rsidRPr="006A38A0">
        <w:t>4.9.1 Erreichte Ziele und Erfahrungen</w:t>
      </w:r>
      <w:bookmarkEnd w:id="37"/>
    </w:p>
    <w:p w14:paraId="400F8243" w14:textId="08B891E9" w:rsidR="006A38A0" w:rsidRPr="006A38A0" w:rsidRDefault="006A38A0" w:rsidP="006A38A0">
      <w:pPr>
        <w:ind w:left="708"/>
        <w:jc w:val="both"/>
        <w:rPr>
          <w:rFonts w:cs="Arial"/>
        </w:rPr>
      </w:pPr>
      <w:r w:rsidRPr="006A38A0">
        <w:rPr>
          <w:rFonts w:cs="Arial"/>
        </w:rPr>
        <w:t>Die zwei zentralen Ziele dieses Projektteils konnten erfolgreich umgesetzt werden. Der Prototyp wurde vollständig aufgebaut und in Betrieb genommen. Das hybride Energiesystem bestehend aus einem 1</w:t>
      </w:r>
      <w:r w:rsidR="002D4634">
        <w:rPr>
          <w:rFonts w:cs="Arial"/>
        </w:rPr>
        <w:t>8</w:t>
      </w:r>
      <w:r w:rsidRPr="006A38A0">
        <w:rPr>
          <w:rFonts w:cs="Arial"/>
        </w:rPr>
        <w:t>0</w:t>
      </w:r>
      <w:r w:rsidR="002D4634">
        <w:rPr>
          <w:rFonts w:cs="Arial"/>
        </w:rPr>
        <w:t> </w:t>
      </w:r>
      <w:r w:rsidRPr="006A38A0">
        <w:rPr>
          <w:rFonts w:cs="Arial"/>
        </w:rPr>
        <w:t>W Photovoltaikmodul, einem 12</w:t>
      </w:r>
      <w:r w:rsidR="002D4634">
        <w:rPr>
          <w:rFonts w:cs="Arial"/>
        </w:rPr>
        <w:t> </w:t>
      </w:r>
      <w:r w:rsidRPr="006A38A0">
        <w:rPr>
          <w:rFonts w:cs="Arial"/>
        </w:rPr>
        <w:t>V 100</w:t>
      </w:r>
      <w:r w:rsidR="002D4634">
        <w:rPr>
          <w:rFonts w:cs="Arial"/>
        </w:rPr>
        <w:t> </w:t>
      </w:r>
      <w:r w:rsidRPr="006A38A0">
        <w:rPr>
          <w:rFonts w:cs="Arial"/>
        </w:rPr>
        <w:t xml:space="preserve">Ah </w:t>
      </w:r>
      <w:proofErr w:type="spellStart"/>
      <w:r w:rsidRPr="006A38A0">
        <w:rPr>
          <w:rFonts w:cs="Arial"/>
        </w:rPr>
        <w:t>LiFePO</w:t>
      </w:r>
      <w:proofErr w:type="spellEnd"/>
      <w:r w:rsidRPr="006A38A0">
        <w:rPr>
          <w:rFonts w:cs="Arial"/>
        </w:rPr>
        <w:t>₄-Akkusystem und dem Victron MultiPlus 12/800 arbeitet stabil und demonstriert das Zusammenspiel von PV-</w:t>
      </w:r>
      <w:r w:rsidR="002D4634">
        <w:rPr>
          <w:rFonts w:cs="Arial"/>
        </w:rPr>
        <w:t>Energieerzeugung</w:t>
      </w:r>
      <w:r w:rsidRPr="006A38A0">
        <w:rPr>
          <w:rFonts w:cs="Arial"/>
        </w:rPr>
        <w:t>, Batteriespeicherung und Netz-Backup</w:t>
      </w:r>
      <w:r w:rsidR="002D4634">
        <w:rPr>
          <w:rFonts w:cs="Arial"/>
        </w:rPr>
        <w:t xml:space="preserve">. </w:t>
      </w:r>
      <w:r w:rsidRPr="006A38A0">
        <w:rPr>
          <w:rFonts w:cs="Arial"/>
        </w:rPr>
        <w:t>Darüber hinaus wurde eine umfassende Wirtschaftlichkeitsanalyse durchgeführt, die zeigt, dass das Konzept bei einer Skalierung auf 10</w:t>
      </w:r>
      <w:r w:rsidR="002D4634">
        <w:rPr>
          <w:rFonts w:cs="Arial"/>
        </w:rPr>
        <w:t> </w:t>
      </w:r>
      <w:r w:rsidRPr="006A38A0">
        <w:rPr>
          <w:rFonts w:cs="Arial"/>
        </w:rPr>
        <w:t>m² mit einer Amortisationszeit von rund 4,6</w:t>
      </w:r>
      <w:r w:rsidR="002D4634">
        <w:rPr>
          <w:rFonts w:cs="Arial"/>
        </w:rPr>
        <w:t> J</w:t>
      </w:r>
      <w:r w:rsidRPr="006A38A0">
        <w:rPr>
          <w:rFonts w:cs="Arial"/>
        </w:rPr>
        <w:t>ahren und einem ROI von etwa 21,5</w:t>
      </w:r>
      <w:r w:rsidR="002D4634">
        <w:rPr>
          <w:rFonts w:cs="Arial"/>
        </w:rPr>
        <w:t> </w:t>
      </w:r>
      <w:r w:rsidRPr="006A38A0">
        <w:rPr>
          <w:rFonts w:cs="Arial"/>
        </w:rPr>
        <w:t>% wirtschaftlich attraktiv ist.</w:t>
      </w:r>
    </w:p>
    <w:p w14:paraId="2E052141" w14:textId="77B138E4" w:rsidR="006A38A0" w:rsidRPr="006A38A0" w:rsidRDefault="006A38A0" w:rsidP="006A38A0">
      <w:pPr>
        <w:ind w:left="708"/>
        <w:jc w:val="both"/>
        <w:rPr>
          <w:rFonts w:cs="Arial"/>
        </w:rPr>
      </w:pPr>
      <w:r w:rsidRPr="006A38A0">
        <w:rPr>
          <w:rFonts w:cs="Arial"/>
        </w:rPr>
        <w:t>Eine reale Umsetzung</w:t>
      </w:r>
      <w:r w:rsidR="002D4634">
        <w:rPr>
          <w:rFonts w:cs="Arial"/>
        </w:rPr>
        <w:t xml:space="preserve"> eines </w:t>
      </w:r>
      <w:r w:rsidR="002D4634" w:rsidRPr="006A38A0">
        <w:rPr>
          <w:rFonts w:cs="Arial"/>
        </w:rPr>
        <w:t>10</w:t>
      </w:r>
      <w:r w:rsidR="002D4634">
        <w:rPr>
          <w:rFonts w:cs="Arial"/>
        </w:rPr>
        <w:t> </w:t>
      </w:r>
      <w:r w:rsidR="002D4634" w:rsidRPr="006A38A0">
        <w:rPr>
          <w:rFonts w:cs="Arial"/>
        </w:rPr>
        <w:t xml:space="preserve">m² </w:t>
      </w:r>
      <w:r w:rsidR="002D4634">
        <w:rPr>
          <w:rFonts w:cs="Arial"/>
        </w:rPr>
        <w:t xml:space="preserve">Gewächshauses </w:t>
      </w:r>
      <w:r w:rsidRPr="006A38A0">
        <w:rPr>
          <w:rFonts w:cs="Arial"/>
        </w:rPr>
        <w:t>würde weitere Erkenntnisse liefern, insbesondere hinsichtlich der tatsächlichen Lastverteilung</w:t>
      </w:r>
      <w:r w:rsidR="002D4634">
        <w:rPr>
          <w:rFonts w:cs="Arial"/>
        </w:rPr>
        <w:t xml:space="preserve">, </w:t>
      </w:r>
      <w:r w:rsidRPr="006A38A0">
        <w:rPr>
          <w:rFonts w:cs="Arial"/>
        </w:rPr>
        <w:t>des saisonalen Speicherverhaltens</w:t>
      </w:r>
      <w:r w:rsidR="002D4634">
        <w:rPr>
          <w:rFonts w:cs="Arial"/>
        </w:rPr>
        <w:t xml:space="preserve"> und Kombinationsmöglichkeiten mit anderen erneuerbaren </w:t>
      </w:r>
      <w:r w:rsidR="002D4634" w:rsidRPr="002D4634">
        <w:rPr>
          <w:rFonts w:cs="Arial"/>
        </w:rPr>
        <w:t>Energie Versorgungsarten</w:t>
      </w:r>
      <w:r w:rsidRPr="006A38A0">
        <w:rPr>
          <w:rFonts w:cs="Arial"/>
        </w:rPr>
        <w:t>. Zudem führten Kommunikationsmissverständnisse mit dem Projektsponsor im Verlauf der Arbeit zu Verzögerungen und einer notwendigen Neuausrichtung einzelner Anforderungen. Diese Erfahrung unterstreicht, wie wichtig eine frühzeitige und präzise Abstimmung der Erwartungen</w:t>
      </w:r>
      <w:r w:rsidR="000F5547">
        <w:rPr>
          <w:rFonts w:cs="Arial"/>
        </w:rPr>
        <w:t xml:space="preserve">, </w:t>
      </w:r>
      <w:r w:rsidRPr="006A38A0">
        <w:rPr>
          <w:rFonts w:cs="Arial"/>
        </w:rPr>
        <w:t>Systemgrenzen</w:t>
      </w:r>
      <w:r w:rsidR="000F5547">
        <w:rPr>
          <w:rFonts w:cs="Arial"/>
        </w:rPr>
        <w:t xml:space="preserve"> und Fähigkeiten</w:t>
      </w:r>
      <w:r w:rsidRPr="006A38A0">
        <w:rPr>
          <w:rFonts w:cs="Arial"/>
        </w:rPr>
        <w:t xml:space="preserve"> </w:t>
      </w:r>
      <w:r w:rsidR="000F5547">
        <w:rPr>
          <w:rFonts w:cs="Arial"/>
        </w:rPr>
        <w:t>aller</w:t>
      </w:r>
      <w:r w:rsidRPr="006A38A0">
        <w:rPr>
          <w:rFonts w:cs="Arial"/>
        </w:rPr>
        <w:t xml:space="preserve"> Projektbeteiligten ist – insbesondere bei technischen Projekten mit externen Partnern.</w:t>
      </w:r>
    </w:p>
    <w:p w14:paraId="15D97715" w14:textId="77777777" w:rsidR="006A38A0" w:rsidRPr="006A38A0" w:rsidRDefault="006A38A0" w:rsidP="006A38A0">
      <w:pPr>
        <w:pStyle w:val="berschrift2"/>
      </w:pPr>
      <w:bookmarkStart w:id="38" w:name="_Toc222739168"/>
      <w:r w:rsidRPr="006A38A0">
        <w:t>4.9.2 Optimierungspotenzial und Ausblick</w:t>
      </w:r>
      <w:bookmarkEnd w:id="38"/>
    </w:p>
    <w:p w14:paraId="52BA2A82" w14:textId="733928C8" w:rsidR="006A38A0" w:rsidRPr="006A38A0" w:rsidRDefault="006A38A0" w:rsidP="006A38A0">
      <w:pPr>
        <w:ind w:left="708"/>
        <w:jc w:val="both"/>
        <w:rPr>
          <w:rFonts w:cs="Arial"/>
        </w:rPr>
      </w:pPr>
      <w:r w:rsidRPr="006A38A0">
        <w:rPr>
          <w:rFonts w:cs="Arial"/>
        </w:rPr>
        <w:t>Sollte ein solches System in einer realen Gewächshausanlage umgesetzt werden, ist die Standortanalyse ein entscheidender Planungsschritt. Die verfügbaren Energiequellen hängen stark von der geografischen Lage und den natürlichen Gegebenheiten ab. An windreichen Standorten kann eine Kleinwindanlage die saisonal geringere PV-Erzeugung im Winter sinnvoll ergänzen</w:t>
      </w:r>
      <w:r w:rsidR="000F5547">
        <w:rPr>
          <w:rFonts w:cs="Arial"/>
        </w:rPr>
        <w:t xml:space="preserve"> </w:t>
      </w:r>
      <w:r w:rsidRPr="006A38A0">
        <w:rPr>
          <w:rFonts w:cs="Arial"/>
        </w:rPr>
        <w:t>und damit die Schwachstelle der PV</w:t>
      </w:r>
      <w:r w:rsidR="000F5547">
        <w:rPr>
          <w:rFonts w:cs="Arial"/>
        </w:rPr>
        <w:t>-Anlage</w:t>
      </w:r>
      <w:r w:rsidRPr="006A38A0">
        <w:rPr>
          <w:rFonts w:cs="Arial"/>
        </w:rPr>
        <w:t xml:space="preserve"> ausgleicht. Bei Gewächshäusern in der Nähe von Bächen oder Flüssen könnte eine Kleinwasserkraft</w:t>
      </w:r>
      <w:r w:rsidR="000F5547">
        <w:rPr>
          <w:rFonts w:cs="Arial"/>
        </w:rPr>
        <w:t>werk</w:t>
      </w:r>
      <w:r w:rsidRPr="006A38A0">
        <w:rPr>
          <w:rFonts w:cs="Arial"/>
        </w:rPr>
        <w:t xml:space="preserve"> als kontinuierliche Grundlastquelle geprüft werden, da Wasserkraft im Gegensatz zu PV</w:t>
      </w:r>
      <w:r w:rsidR="000F5547">
        <w:rPr>
          <w:rFonts w:cs="Arial"/>
        </w:rPr>
        <w:t>-Energie</w:t>
      </w:r>
      <w:r w:rsidRPr="006A38A0">
        <w:rPr>
          <w:rFonts w:cs="Arial"/>
        </w:rPr>
        <w:t xml:space="preserve"> und Wind weitgehend wetterunabhängig ist. Ziel der Standortplanung sollte es sein, die vorhandenen natürlichen Ressourcen so zu kombinieren, dass eine möglichst hohe Versorgungssicherheit bei gleichzeitig niedrigen Erzeugungskosten erreicht wird.</w:t>
      </w:r>
    </w:p>
    <w:p w14:paraId="4AFD9AD0" w14:textId="660B1A5E" w:rsidR="006A38A0" w:rsidRPr="006A38A0" w:rsidRDefault="006A38A0" w:rsidP="006A38A0">
      <w:pPr>
        <w:ind w:left="708"/>
        <w:jc w:val="both"/>
        <w:rPr>
          <w:rFonts w:cs="Arial"/>
        </w:rPr>
      </w:pPr>
      <w:r w:rsidRPr="006A38A0">
        <w:rPr>
          <w:rFonts w:cs="Arial"/>
        </w:rPr>
        <w:t>Ein weiterer naheliegender Schritt ist die Skalierung des Konzepts auf größere Gewächshausanlagen. Die in dieser Arbeit durchgeführte Wirtschaftlichkeitsanalyse zeigt, dass größere Anlagen aufgrund niedrigerer spezifischer Kosten pro kWp tendenziell wirtschaftlicher sind. Bei einer Skalierung wären jedoch nicht nur die Komponentendimensionierung anzupassen, sondern auch die Systemarchitektur neu zu bewerten – etwa hinsichtlich der Wahl zwischen 12</w:t>
      </w:r>
      <w:r w:rsidR="00915B5F">
        <w:rPr>
          <w:rFonts w:cs="Arial"/>
        </w:rPr>
        <w:t> </w:t>
      </w:r>
      <w:r w:rsidRPr="006A38A0">
        <w:rPr>
          <w:rFonts w:cs="Arial"/>
        </w:rPr>
        <w:t>V, 24</w:t>
      </w:r>
      <w:r w:rsidR="00915B5F">
        <w:rPr>
          <w:rFonts w:cs="Arial"/>
        </w:rPr>
        <w:t> </w:t>
      </w:r>
      <w:r w:rsidRPr="006A38A0">
        <w:rPr>
          <w:rFonts w:cs="Arial"/>
        </w:rPr>
        <w:t>V oder 48</w:t>
      </w:r>
      <w:r w:rsidR="00915B5F">
        <w:rPr>
          <w:rFonts w:cs="Arial"/>
        </w:rPr>
        <w:t> </w:t>
      </w:r>
      <w:r w:rsidRPr="006A38A0">
        <w:rPr>
          <w:rFonts w:cs="Arial"/>
        </w:rPr>
        <w:t xml:space="preserve">V Systemspannung, der Anzahl der </w:t>
      </w:r>
      <w:r w:rsidRPr="006A38A0">
        <w:rPr>
          <w:rFonts w:cs="Arial"/>
        </w:rPr>
        <w:lastRenderedPageBreak/>
        <w:t>Batteriemodule sowie der Leistungsklasse des Wechselrichters. Zudem würde eine größere Anlage die softwareseitige Laststeuerung deutlich relevanter machen, da bei mehreren parallel betriebenen Verbrauchern eine intelligente Priorisierung auf Basis von Echtzeitdaten – etwa über die MQTT-Schnittstelle des Cerbo GX – erhebliches Einsparpotenzial bietet.</w:t>
      </w:r>
    </w:p>
    <w:p w14:paraId="61AD42CB" w14:textId="77777777" w:rsidR="006A38A0" w:rsidRDefault="006A38A0" w:rsidP="003D6115">
      <w:pPr>
        <w:ind w:left="708"/>
        <w:jc w:val="both"/>
        <w:rPr>
          <w:rFonts w:cs="Arial"/>
        </w:rPr>
      </w:pPr>
    </w:p>
    <w:p w14:paraId="2729A8F7" w14:textId="602E8352" w:rsidR="000A7CA8" w:rsidRPr="000A7CA8" w:rsidRDefault="008924AE" w:rsidP="000A7CA8">
      <w:pPr>
        <w:pStyle w:val="berschrift1"/>
      </w:pPr>
      <w:bookmarkStart w:id="39" w:name="_Toc222739169"/>
      <w:r>
        <w:t xml:space="preserve">5. </w:t>
      </w:r>
      <w:r w:rsidR="000A7CA8" w:rsidRPr="000A7CA8">
        <w:t>Quellenverzeichnis</w:t>
      </w:r>
      <w:bookmarkEnd w:id="39"/>
    </w:p>
    <w:p w14:paraId="440E02EA" w14:textId="77777777" w:rsidR="004A1ADC" w:rsidRPr="004A1ADC" w:rsidRDefault="000A7CA8" w:rsidP="004A1ADC">
      <w:pPr>
        <w:pStyle w:val="Literaturverzeichnis"/>
        <w:rPr>
          <w:rFonts w:ascii="Aptos" w:hAnsi="Aptos"/>
        </w:rPr>
      </w:pPr>
      <w:r>
        <w:fldChar w:fldCharType="begin"/>
      </w:r>
      <w:r>
        <w:instrText xml:space="preserve"> ADDIN ZOTERO_BIBL {"uncited":[],"omitted":[],"custom":[]} CSL_BIBLIOGRAPHY </w:instrText>
      </w:r>
      <w:r>
        <w:fldChar w:fldCharType="separate"/>
      </w:r>
      <w:r w:rsidR="004A1ADC" w:rsidRPr="004A1ADC">
        <w:rPr>
          <w:rFonts w:ascii="Aptos" w:hAnsi="Aptos"/>
        </w:rPr>
        <w:t>[1]</w:t>
      </w:r>
      <w:r w:rsidR="004A1ADC" w:rsidRPr="004A1ADC">
        <w:rPr>
          <w:rFonts w:ascii="Aptos" w:hAnsi="Aptos"/>
        </w:rPr>
        <w:tab/>
        <w:t>Photovoltaik.org, „Bedeutung der Photovoltaik-Kennlinie“, Photovoltaik.org. Zugegriffen: 27. Januar 2026. [Online]. Verfügbar unter: https://photovoltaik.org/solarstrom/elektro/kennlinie</w:t>
      </w:r>
    </w:p>
    <w:p w14:paraId="68929602" w14:textId="77777777" w:rsidR="004A1ADC" w:rsidRPr="004A1ADC" w:rsidRDefault="004A1ADC" w:rsidP="004A1ADC">
      <w:pPr>
        <w:pStyle w:val="Literaturverzeichnis"/>
        <w:rPr>
          <w:rFonts w:ascii="Aptos" w:hAnsi="Aptos"/>
        </w:rPr>
      </w:pPr>
      <w:r w:rsidRPr="004A1ADC">
        <w:rPr>
          <w:rFonts w:ascii="Aptos" w:hAnsi="Aptos"/>
        </w:rPr>
        <w:t>[2]</w:t>
      </w:r>
      <w:r w:rsidRPr="004A1ADC">
        <w:rPr>
          <w:rFonts w:ascii="Aptos" w:hAnsi="Aptos"/>
        </w:rPr>
        <w:tab/>
        <w:t>„2. Allgemeine Beschreibung“. Zugegriffen: 5. Februar 2026. [Online]. Verfügbar unter: https://www.victronenergy.com/media/pg/SmartSolar_MPPT_RS/de/general-description.html</w:t>
      </w:r>
    </w:p>
    <w:p w14:paraId="5A91C41C" w14:textId="77777777" w:rsidR="004A1ADC" w:rsidRPr="004A1ADC" w:rsidRDefault="004A1ADC" w:rsidP="004A1ADC">
      <w:pPr>
        <w:pStyle w:val="Literaturverzeichnis"/>
        <w:rPr>
          <w:rFonts w:ascii="Aptos" w:hAnsi="Aptos"/>
        </w:rPr>
      </w:pPr>
      <w:r w:rsidRPr="004A1ADC">
        <w:rPr>
          <w:rFonts w:ascii="Aptos" w:hAnsi="Aptos"/>
        </w:rPr>
        <w:t>[3]</w:t>
      </w:r>
      <w:r w:rsidRPr="004A1ADC">
        <w:rPr>
          <w:rFonts w:ascii="Aptos" w:hAnsi="Aptos"/>
        </w:rPr>
        <w:tab/>
        <w:t>„Zeitliche Variation der Sonnen­ein­strah­lung“, pv-wissen.de. Zugegriffen: 6. Februar 2026. [Online]. Verfügbar unter: https://www.pv-wissen.de/zeitliche-variation-der-sonneneinstrahlung/</w:t>
      </w:r>
    </w:p>
    <w:p w14:paraId="251D49E7" w14:textId="77777777" w:rsidR="004A1ADC" w:rsidRPr="004A1ADC" w:rsidRDefault="004A1ADC" w:rsidP="004A1ADC">
      <w:pPr>
        <w:pStyle w:val="Literaturverzeichnis"/>
        <w:rPr>
          <w:rFonts w:ascii="Aptos" w:hAnsi="Aptos"/>
        </w:rPr>
      </w:pPr>
      <w:r w:rsidRPr="004A1ADC">
        <w:rPr>
          <w:rFonts w:ascii="Aptos" w:hAnsi="Aptos"/>
        </w:rPr>
        <w:t>[4]</w:t>
      </w:r>
      <w:r w:rsidRPr="004A1ADC">
        <w:rPr>
          <w:rFonts w:ascii="Aptos" w:hAnsi="Aptos"/>
        </w:rPr>
        <w:tab/>
        <w:t>„Sonnenstand“, pv-wissen.de. Zugegriffen: 6. Februar 2026. [Online]. Verfügbar unter: https://www.pv-wissen.de/sonnenstand/</w:t>
      </w:r>
    </w:p>
    <w:p w14:paraId="6FA8F3B0" w14:textId="77777777" w:rsidR="004A1ADC" w:rsidRPr="004A1ADC" w:rsidRDefault="004A1ADC" w:rsidP="004A1ADC">
      <w:pPr>
        <w:pStyle w:val="Literaturverzeichnis"/>
        <w:rPr>
          <w:rFonts w:ascii="Aptos" w:hAnsi="Aptos"/>
        </w:rPr>
      </w:pPr>
      <w:r w:rsidRPr="004A1ADC">
        <w:rPr>
          <w:rFonts w:ascii="Aptos" w:hAnsi="Aptos"/>
        </w:rPr>
        <w:t>[5]</w:t>
      </w:r>
      <w:r w:rsidRPr="004A1ADC">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3F999FCC" w14:textId="77777777" w:rsidR="004A1ADC" w:rsidRPr="004A1ADC" w:rsidRDefault="004A1ADC" w:rsidP="004A1ADC">
      <w:pPr>
        <w:pStyle w:val="Literaturverzeichnis"/>
        <w:rPr>
          <w:rFonts w:ascii="Aptos" w:hAnsi="Aptos"/>
        </w:rPr>
      </w:pPr>
      <w:r w:rsidRPr="004A1ADC">
        <w:rPr>
          <w:rFonts w:ascii="Aptos" w:hAnsi="Aptos"/>
        </w:rPr>
        <w:t>[6]</w:t>
      </w:r>
      <w:r w:rsidRPr="004A1ADC">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03942E81" w14:textId="77777777" w:rsidR="004A1ADC" w:rsidRPr="004A1ADC" w:rsidRDefault="004A1ADC" w:rsidP="004A1ADC">
      <w:pPr>
        <w:pStyle w:val="Literaturverzeichnis"/>
        <w:rPr>
          <w:rFonts w:ascii="Aptos" w:hAnsi="Aptos"/>
        </w:rPr>
      </w:pPr>
      <w:r w:rsidRPr="004A1ADC">
        <w:rPr>
          <w:rFonts w:ascii="Aptos" w:hAnsi="Aptos"/>
          <w:lang w:val="en-GB"/>
        </w:rPr>
        <w:t>[7]</w:t>
      </w:r>
      <w:r w:rsidRPr="004A1ADC">
        <w:rPr>
          <w:rFonts w:ascii="Aptos" w:hAnsi="Aptos"/>
          <w:lang w:val="en-GB"/>
        </w:rPr>
        <w:tab/>
        <w:t xml:space="preserve">„Datasheet-Cerbo-GX-GX-Touch-DE.pdf“. </w:t>
      </w:r>
      <w:r w:rsidRPr="004A1ADC">
        <w:rPr>
          <w:rFonts w:ascii="Aptos" w:hAnsi="Aptos"/>
        </w:rPr>
        <w:t>Zugegriffen: 16. Februar 2026. [Online]. Verfügbar unter: https://www.victronenergy.de/upload/documents/Datasheet-Cerbo-GX-GX-Touch-DE.pdf</w:t>
      </w:r>
    </w:p>
    <w:p w14:paraId="66C8B2B9" w14:textId="77777777" w:rsidR="004A1ADC" w:rsidRPr="004A1ADC" w:rsidRDefault="004A1ADC" w:rsidP="004A1ADC">
      <w:pPr>
        <w:pStyle w:val="Literaturverzeichnis"/>
        <w:rPr>
          <w:rFonts w:ascii="Aptos" w:hAnsi="Aptos"/>
        </w:rPr>
      </w:pPr>
      <w:r w:rsidRPr="004A1ADC">
        <w:rPr>
          <w:rFonts w:ascii="Aptos" w:hAnsi="Aptos"/>
        </w:rPr>
        <w:t>[8]</w:t>
      </w:r>
      <w:r w:rsidRPr="004A1ADC">
        <w:rPr>
          <w:rFonts w:ascii="Aptos" w:hAnsi="Aptos"/>
        </w:rPr>
        <w:tab/>
        <w:t>„Datasheet-SmartShunt-DE.pdf“. Zugegriffen: 16. Februar 2026. [Online]. Verfügbar unter: https://www.victronenergy.de/upload/documents/Datasheet-SmartShunt-DE.pdf</w:t>
      </w:r>
    </w:p>
    <w:p w14:paraId="3C7D5553" w14:textId="77777777" w:rsidR="004A1ADC" w:rsidRPr="004A1ADC" w:rsidRDefault="004A1ADC" w:rsidP="004A1ADC">
      <w:pPr>
        <w:pStyle w:val="Literaturverzeichnis"/>
        <w:rPr>
          <w:rFonts w:ascii="Aptos" w:hAnsi="Aptos"/>
        </w:rPr>
      </w:pPr>
      <w:r w:rsidRPr="004A1ADC">
        <w:rPr>
          <w:rFonts w:ascii="Aptos" w:hAnsi="Aptos"/>
        </w:rPr>
        <w:t>[9]</w:t>
      </w:r>
      <w:r w:rsidRPr="004A1ADC">
        <w:rPr>
          <w:rFonts w:ascii="Aptos" w:hAnsi="Aptos"/>
        </w:rPr>
        <w:tab/>
        <w:t>„Datasheet-MultiPlus-inverter-charger-800VA-5kVA-DE.pdf“. Zugegriffen: 16. Februar 2026. [Online]. Verfügbar unter: https://www.victronenergy.com/upload/documents/Datasheet-MultiPlus-inverter-charger-800VA-5kVA-DE.pdf</w:t>
      </w:r>
    </w:p>
    <w:p w14:paraId="2F3F1D22" w14:textId="77777777" w:rsidR="004A1ADC" w:rsidRPr="004A1ADC" w:rsidRDefault="004A1ADC" w:rsidP="004A1ADC">
      <w:pPr>
        <w:pStyle w:val="Literaturverzeichnis"/>
        <w:rPr>
          <w:rFonts w:ascii="Aptos" w:hAnsi="Aptos"/>
        </w:rPr>
      </w:pPr>
      <w:r w:rsidRPr="004A1ADC">
        <w:rPr>
          <w:rFonts w:ascii="Aptos" w:hAnsi="Aptos"/>
          <w:lang w:val="en-GB"/>
        </w:rPr>
        <w:t>[10]</w:t>
      </w:r>
      <w:r w:rsidRPr="004A1ADC">
        <w:rPr>
          <w:rFonts w:ascii="Aptos" w:hAnsi="Aptos"/>
          <w:lang w:val="en-GB"/>
        </w:rPr>
        <w:tab/>
        <w:t xml:space="preserve">„Datasheet-AGM-Super-Cycle-battery-DE.pdf“. </w:t>
      </w:r>
      <w:r w:rsidRPr="004A1ADC">
        <w:rPr>
          <w:rFonts w:ascii="Aptos" w:hAnsi="Aptos"/>
        </w:rPr>
        <w:t>Zugegriffen: 16. Februar 2026. [Online]. Verfügbar unter: https://www.victronenergy.de/upload/documents/Datasheet-AGM-Super-Cycle-battery-DE.pdf</w:t>
      </w:r>
    </w:p>
    <w:p w14:paraId="234D5BDF" w14:textId="77777777" w:rsidR="004A1ADC" w:rsidRPr="004A1ADC" w:rsidRDefault="004A1ADC" w:rsidP="004A1ADC">
      <w:pPr>
        <w:pStyle w:val="Literaturverzeichnis"/>
        <w:rPr>
          <w:rFonts w:ascii="Aptos" w:hAnsi="Aptos"/>
        </w:rPr>
      </w:pPr>
      <w:r w:rsidRPr="004A1ADC">
        <w:rPr>
          <w:rFonts w:ascii="Aptos" w:hAnsi="Aptos"/>
          <w:lang w:val="en-GB"/>
        </w:rPr>
        <w:t>[11]</w:t>
      </w:r>
      <w:r w:rsidRPr="004A1ADC">
        <w:rPr>
          <w:rFonts w:ascii="Aptos" w:hAnsi="Aptos"/>
          <w:lang w:val="en-GB"/>
        </w:rPr>
        <w:tab/>
        <w:t xml:space="preserve">„How to Optimize AGM Battery Performance for Maximum Lifespan?“, How to Optimize AGM Battery Performance for Maximum Lifespan? </w:t>
      </w:r>
      <w:r w:rsidRPr="004A1ADC">
        <w:rPr>
          <w:rFonts w:ascii="Aptos" w:hAnsi="Aptos"/>
        </w:rPr>
        <w:t>Zugegriffen: 16. Februar 2026. [Online]. Verfügbar unter: https://www.longwaybattery.com/de/blog/optimize-agm-battery-performance-maximum-lifespan/index.html</w:t>
      </w:r>
    </w:p>
    <w:p w14:paraId="69CA4E87" w14:textId="77777777" w:rsidR="004A1ADC" w:rsidRPr="004A1ADC" w:rsidRDefault="004A1ADC" w:rsidP="004A1ADC">
      <w:pPr>
        <w:pStyle w:val="Literaturverzeichnis"/>
        <w:rPr>
          <w:rFonts w:ascii="Aptos" w:hAnsi="Aptos"/>
        </w:rPr>
      </w:pPr>
      <w:r w:rsidRPr="004A1ADC">
        <w:rPr>
          <w:rFonts w:ascii="Aptos" w:hAnsi="Aptos"/>
          <w:lang w:val="en-GB"/>
        </w:rPr>
        <w:lastRenderedPageBreak/>
        <w:t>[12]</w:t>
      </w:r>
      <w:r w:rsidRPr="004A1ADC">
        <w:rPr>
          <w:rFonts w:ascii="Aptos" w:hAnsi="Aptos"/>
          <w:lang w:val="en-GB"/>
        </w:rPr>
        <w:tab/>
        <w:t xml:space="preserve">„Datasheet-Orion-Tr-Smart-DC-DC-chargers-isolated-250-400W-DE.pdf“. </w:t>
      </w:r>
      <w:r w:rsidRPr="004A1ADC">
        <w:rPr>
          <w:rFonts w:ascii="Aptos" w:hAnsi="Aptos"/>
        </w:rPr>
        <w:t>Zugegriffen: 17. Februar 2026. [Online]. Verfügbar unter: https://www.victronenergy.de/upload/documents/Datasheet-Orion-Tr-Smart-DC-DC-chargers-isolated-250-400W-DE.pdf</w:t>
      </w:r>
    </w:p>
    <w:p w14:paraId="11338D0D" w14:textId="77777777" w:rsidR="004A1ADC" w:rsidRPr="004A1ADC" w:rsidRDefault="004A1ADC" w:rsidP="004A1ADC">
      <w:pPr>
        <w:pStyle w:val="Literaturverzeichnis"/>
        <w:rPr>
          <w:rFonts w:ascii="Aptos" w:hAnsi="Aptos"/>
        </w:rPr>
      </w:pPr>
      <w:r w:rsidRPr="004A1ADC">
        <w:rPr>
          <w:rFonts w:ascii="Aptos" w:hAnsi="Aptos"/>
        </w:rPr>
        <w:t>[13]</w:t>
      </w:r>
      <w:r w:rsidRPr="004A1ADC">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1B6F6CE" w14:textId="77777777" w:rsidR="004A1ADC" w:rsidRPr="004A1ADC" w:rsidRDefault="004A1ADC" w:rsidP="004A1ADC">
      <w:pPr>
        <w:pStyle w:val="Literaturverzeichnis"/>
        <w:rPr>
          <w:rFonts w:ascii="Aptos" w:hAnsi="Aptos"/>
        </w:rPr>
      </w:pPr>
      <w:r w:rsidRPr="004A1ADC">
        <w:rPr>
          <w:rFonts w:ascii="Aptos" w:hAnsi="Aptos"/>
        </w:rPr>
        <w:t>[14]</w:t>
      </w:r>
      <w:r w:rsidRPr="004A1ADC">
        <w:rPr>
          <w:rFonts w:ascii="Aptos" w:hAnsi="Aptos"/>
        </w:rPr>
        <w:tab/>
        <w:t>„2.1 AGM vs. Lithium - Was ist besser?“ Zugegriffen: 17. Februar 2026. [Online]. Verfügbar unter: http://greenboatsolutions.de/ratgeber/agm-vs-lithium?srsltid=AfmBOoq4MEVKskN6v5GYbOgMlML4Zs3DHCf-YTXt-HHQTaIWApUYtA6a</w:t>
      </w:r>
    </w:p>
    <w:p w14:paraId="6326F076" w14:textId="77777777" w:rsidR="004A1ADC" w:rsidRPr="004A1ADC" w:rsidRDefault="004A1ADC" w:rsidP="004A1ADC">
      <w:pPr>
        <w:pStyle w:val="Literaturverzeichnis"/>
        <w:rPr>
          <w:rFonts w:ascii="Aptos" w:hAnsi="Aptos"/>
        </w:rPr>
      </w:pPr>
      <w:r w:rsidRPr="004A1ADC">
        <w:rPr>
          <w:rFonts w:ascii="Aptos" w:hAnsi="Aptos"/>
        </w:rPr>
        <w:t>[15]</w:t>
      </w:r>
      <w:r w:rsidRPr="004A1ADC">
        <w:rPr>
          <w:rFonts w:ascii="Aptos" w:hAnsi="Aptos"/>
        </w:rPr>
        <w:tab/>
        <w:t>M. Vader, „Datenkommunikation mit Victron Energy Produkten“.</w:t>
      </w:r>
    </w:p>
    <w:p w14:paraId="67E3BE7A" w14:textId="77777777" w:rsidR="004A1ADC" w:rsidRPr="004A1ADC" w:rsidRDefault="004A1ADC" w:rsidP="004A1ADC">
      <w:pPr>
        <w:pStyle w:val="Literaturverzeichnis"/>
        <w:rPr>
          <w:rFonts w:ascii="Aptos" w:hAnsi="Aptos"/>
        </w:rPr>
      </w:pPr>
      <w:r w:rsidRPr="004A1ADC">
        <w:rPr>
          <w:rFonts w:ascii="Aptos" w:hAnsi="Aptos"/>
          <w:lang w:val="en-GB"/>
        </w:rPr>
        <w:t>[16]</w:t>
      </w:r>
      <w:r w:rsidRPr="004A1ADC">
        <w:rPr>
          <w:rFonts w:ascii="Aptos" w:hAnsi="Aptos"/>
          <w:lang w:val="en-GB"/>
        </w:rPr>
        <w:tab/>
        <w:t xml:space="preserve">„GX Modbus-TCP Manual [Victron Energy]“. </w:t>
      </w:r>
      <w:r w:rsidRPr="004A1ADC">
        <w:rPr>
          <w:rFonts w:ascii="Aptos" w:hAnsi="Aptos"/>
        </w:rPr>
        <w:t>Zugegriffen: 19. Februar 2026. [Online]. Verfügbar unter: https://www.victronenergy.com/live/ccgx:modbustcp_faq</w:t>
      </w:r>
    </w:p>
    <w:p w14:paraId="270F3679" w14:textId="77777777" w:rsidR="004A1ADC" w:rsidRPr="004A1ADC" w:rsidRDefault="004A1ADC" w:rsidP="004A1ADC">
      <w:pPr>
        <w:pStyle w:val="Literaturverzeichnis"/>
        <w:rPr>
          <w:rFonts w:ascii="Aptos" w:hAnsi="Aptos"/>
        </w:rPr>
      </w:pPr>
      <w:r w:rsidRPr="004A1ADC">
        <w:rPr>
          <w:rFonts w:ascii="Aptos" w:hAnsi="Aptos"/>
        </w:rPr>
        <w:t>[17]</w:t>
      </w:r>
      <w:r w:rsidRPr="004A1ADC">
        <w:rPr>
          <w:rFonts w:ascii="Aptos" w:hAnsi="Aptos"/>
        </w:rPr>
        <w:tab/>
        <w:t>„Photovoltaik Kosten &amp; Ertrag inkl. PV Rechner - Salzburg AG für Energie, Verkehr &amp; Telekommunikation“. Zugegriffen: 19. Februar 2026. [Online]. Verfügbar unter: https://www.salzburg-ag.at/photovoltaik/privat/infos-ratgeber/wirtschaftlichkeit-finanzierung/pv-kosten-rechner.html</w:t>
      </w:r>
    </w:p>
    <w:p w14:paraId="0DA985DE" w14:textId="77777777" w:rsidR="004A1ADC" w:rsidRPr="004A1ADC" w:rsidRDefault="004A1ADC" w:rsidP="004A1ADC">
      <w:pPr>
        <w:pStyle w:val="Literaturverzeichnis"/>
        <w:rPr>
          <w:rFonts w:ascii="Aptos" w:hAnsi="Aptos"/>
        </w:rPr>
      </w:pPr>
      <w:r w:rsidRPr="004A1ADC">
        <w:rPr>
          <w:rFonts w:ascii="Aptos" w:hAnsi="Aptos"/>
        </w:rPr>
        <w:t>[18]</w:t>
      </w:r>
      <w:r w:rsidRPr="004A1ADC">
        <w:rPr>
          <w:rFonts w:ascii="Aptos" w:hAnsi="Aptos"/>
        </w:rPr>
        <w:tab/>
        <w:t>„Klima: Tirol in Österreich“, Laenderdaten.info. Zugegriffen: 20. Februar 2026. [Online]. Verfügbar unter: https://www.laenderdaten.info/Europa/Oesterreich/Klima-Tirol.php</w:t>
      </w:r>
    </w:p>
    <w:p w14:paraId="3B815B2F" w14:textId="77777777" w:rsidR="004A1ADC" w:rsidRPr="004A1ADC" w:rsidRDefault="004A1ADC" w:rsidP="004A1ADC">
      <w:pPr>
        <w:pStyle w:val="Literaturverzeichnis"/>
        <w:rPr>
          <w:rFonts w:ascii="Aptos" w:hAnsi="Aptos"/>
        </w:rPr>
      </w:pPr>
      <w:r w:rsidRPr="004A1ADC">
        <w:rPr>
          <w:rFonts w:ascii="Aptos" w:hAnsi="Aptos"/>
        </w:rPr>
        <w:t>[19]</w:t>
      </w:r>
      <w:r w:rsidRPr="004A1ADC">
        <w:rPr>
          <w:rFonts w:ascii="Aptos" w:hAnsi="Aptos"/>
        </w:rPr>
        <w:tab/>
        <w:t>„Strompreisindizes: AEA - Österreichische Energieagentur“. Zugegriffen: 19. Februar 2026. [Online]. Verfügbar unter: https://www.energyagency.at/fakten/strompreisindizes</w:t>
      </w:r>
    </w:p>
    <w:p w14:paraId="6C93E320" w14:textId="77777777" w:rsidR="004A1ADC" w:rsidRPr="004A1ADC" w:rsidRDefault="004A1ADC" w:rsidP="004A1ADC">
      <w:pPr>
        <w:pStyle w:val="Literaturverzeichnis"/>
        <w:rPr>
          <w:rFonts w:ascii="Aptos" w:hAnsi="Aptos"/>
        </w:rPr>
      </w:pPr>
      <w:r w:rsidRPr="004A1ADC">
        <w:rPr>
          <w:rFonts w:ascii="Aptos" w:hAnsi="Aptos"/>
        </w:rPr>
        <w:t>[20]</w:t>
      </w:r>
      <w:r w:rsidRPr="004A1ADC">
        <w:rPr>
          <w:rFonts w:ascii="Aptos" w:hAnsi="Aptos"/>
        </w:rPr>
        <w:tab/>
        <w:t>„Einspeisetarife in Österreich für Photovoltaik - Vergleich“. Zugegriffen: 20. Februar 2026. [Online]. Verfügbar unter: https://www.stromrechner.at/einspeisetarif</w:t>
      </w:r>
    </w:p>
    <w:p w14:paraId="71516739" w14:textId="2ABD617F" w:rsidR="003D6115" w:rsidRDefault="000A7CA8" w:rsidP="00303B13">
      <w:r>
        <w:fldChar w:fldCharType="end"/>
      </w:r>
    </w:p>
    <w:p w14:paraId="2E024C5B" w14:textId="77777777" w:rsidR="00CD1BD8" w:rsidRDefault="00CD1BD8" w:rsidP="00303B13"/>
    <w:p w14:paraId="0DECCEFC" w14:textId="77777777" w:rsidR="003D6115" w:rsidRPr="005A0007" w:rsidRDefault="003D6115" w:rsidP="00303B13"/>
    <w:p w14:paraId="6DCBDF76" w14:textId="1B772A33" w:rsidR="003D6115" w:rsidRDefault="008924AE" w:rsidP="000A7CA8">
      <w:pPr>
        <w:pStyle w:val="berschrift1"/>
      </w:pPr>
      <w:bookmarkStart w:id="40" w:name="_Toc222739170"/>
      <w:r>
        <w:t xml:space="preserve">6. </w:t>
      </w:r>
      <w:r w:rsidR="000A7CA8">
        <w:t>Abbildungsverzeichnis</w:t>
      </w:r>
      <w:bookmarkEnd w:id="40"/>
    </w:p>
    <w:p w14:paraId="25415343" w14:textId="551D0020" w:rsidR="00750B78" w:rsidRDefault="00750B78">
      <w:pPr>
        <w:pStyle w:val="Abbildungsverzeichnis"/>
        <w:tabs>
          <w:tab w:val="right" w:leader="dot" w:pos="9062"/>
        </w:tabs>
        <w:rPr>
          <w:noProof/>
        </w:rPr>
      </w:pPr>
      <w:r>
        <w:fldChar w:fldCharType="begin"/>
      </w:r>
      <w:r>
        <w:instrText xml:space="preserve"> TOC \h \z \c "Abbildung" </w:instrText>
      </w:r>
      <w:r>
        <w:fldChar w:fldCharType="separate"/>
      </w:r>
      <w:hyperlink w:anchor="_Toc220424818" w:history="1">
        <w:r w:rsidRPr="00BD1209">
          <w:rPr>
            <w:rStyle w:val="Hyperlink"/>
            <w:noProof/>
          </w:rPr>
          <w:t>Abbildung 1: I-U-Kennlinie einer Solarzelle</w:t>
        </w:r>
        <w:r>
          <w:rPr>
            <w:noProof/>
            <w:webHidden/>
          </w:rPr>
          <w:tab/>
        </w:r>
        <w:r>
          <w:rPr>
            <w:noProof/>
            <w:webHidden/>
          </w:rPr>
          <w:fldChar w:fldCharType="begin"/>
        </w:r>
        <w:r>
          <w:rPr>
            <w:noProof/>
            <w:webHidden/>
          </w:rPr>
          <w:instrText xml:space="preserve"> PAGEREF _Toc220424818 \h </w:instrText>
        </w:r>
        <w:r>
          <w:rPr>
            <w:noProof/>
            <w:webHidden/>
          </w:rPr>
        </w:r>
        <w:r>
          <w:rPr>
            <w:noProof/>
            <w:webHidden/>
          </w:rPr>
          <w:fldChar w:fldCharType="separate"/>
        </w:r>
        <w:r>
          <w:rPr>
            <w:noProof/>
            <w:webHidden/>
          </w:rPr>
          <w:t>3</w:t>
        </w:r>
        <w:r>
          <w:rPr>
            <w:noProof/>
            <w:webHidden/>
          </w:rPr>
          <w:fldChar w:fldCharType="end"/>
        </w:r>
      </w:hyperlink>
    </w:p>
    <w:p w14:paraId="1A73378F" w14:textId="5623FE84" w:rsidR="000A7CA8" w:rsidRDefault="00750B78" w:rsidP="000A7CA8">
      <w:r>
        <w:fldChar w:fldCharType="end"/>
      </w:r>
    </w:p>
    <w:p w14:paraId="36AF413B" w14:textId="77777777" w:rsidR="001830EE" w:rsidRDefault="001830EE" w:rsidP="000A7CA8"/>
    <w:p w14:paraId="7A3D7776" w14:textId="77777777" w:rsidR="001830EE" w:rsidRDefault="001830EE" w:rsidP="000A7CA8"/>
    <w:sectPr w:rsidR="001830EE" w:rsidSect="006B5CF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41519"/>
    <w:rsid w:val="00043CFC"/>
    <w:rsid w:val="00052E86"/>
    <w:rsid w:val="00060741"/>
    <w:rsid w:val="00097BCE"/>
    <w:rsid w:val="000A2703"/>
    <w:rsid w:val="000A7CA8"/>
    <w:rsid w:val="000C52CA"/>
    <w:rsid w:val="000C768E"/>
    <w:rsid w:val="000D119C"/>
    <w:rsid w:val="000D220D"/>
    <w:rsid w:val="000D23AA"/>
    <w:rsid w:val="000E550B"/>
    <w:rsid w:val="000F5547"/>
    <w:rsid w:val="00105A36"/>
    <w:rsid w:val="00105ED7"/>
    <w:rsid w:val="00111D08"/>
    <w:rsid w:val="00123332"/>
    <w:rsid w:val="0014420E"/>
    <w:rsid w:val="001462B2"/>
    <w:rsid w:val="001572E4"/>
    <w:rsid w:val="00161B22"/>
    <w:rsid w:val="001658BC"/>
    <w:rsid w:val="00173D73"/>
    <w:rsid w:val="00174E10"/>
    <w:rsid w:val="001763B1"/>
    <w:rsid w:val="001830EE"/>
    <w:rsid w:val="00186EE0"/>
    <w:rsid w:val="001910B0"/>
    <w:rsid w:val="001A7376"/>
    <w:rsid w:val="001C1238"/>
    <w:rsid w:val="001C7F86"/>
    <w:rsid w:val="002070A3"/>
    <w:rsid w:val="0022146C"/>
    <w:rsid w:val="00222C03"/>
    <w:rsid w:val="00287D37"/>
    <w:rsid w:val="00293421"/>
    <w:rsid w:val="00295780"/>
    <w:rsid w:val="002B3A8B"/>
    <w:rsid w:val="002B61A2"/>
    <w:rsid w:val="002C429C"/>
    <w:rsid w:val="002D2A5D"/>
    <w:rsid w:val="002D4634"/>
    <w:rsid w:val="002E5B5D"/>
    <w:rsid w:val="002F2F14"/>
    <w:rsid w:val="00303B13"/>
    <w:rsid w:val="0030753F"/>
    <w:rsid w:val="00310E86"/>
    <w:rsid w:val="00313FCF"/>
    <w:rsid w:val="00320887"/>
    <w:rsid w:val="00320B4A"/>
    <w:rsid w:val="00363126"/>
    <w:rsid w:val="003A0571"/>
    <w:rsid w:val="003D543B"/>
    <w:rsid w:val="003D6115"/>
    <w:rsid w:val="003E515A"/>
    <w:rsid w:val="003E5C32"/>
    <w:rsid w:val="003F1A22"/>
    <w:rsid w:val="003F7209"/>
    <w:rsid w:val="003F7F0B"/>
    <w:rsid w:val="00434D65"/>
    <w:rsid w:val="00444FFB"/>
    <w:rsid w:val="004527B3"/>
    <w:rsid w:val="00482B2F"/>
    <w:rsid w:val="00490047"/>
    <w:rsid w:val="004A13F8"/>
    <w:rsid w:val="004A1ADC"/>
    <w:rsid w:val="004B478B"/>
    <w:rsid w:val="004C7082"/>
    <w:rsid w:val="004F0705"/>
    <w:rsid w:val="0052036E"/>
    <w:rsid w:val="00521728"/>
    <w:rsid w:val="00521E7E"/>
    <w:rsid w:val="0052589C"/>
    <w:rsid w:val="005404C5"/>
    <w:rsid w:val="00545D09"/>
    <w:rsid w:val="00551D71"/>
    <w:rsid w:val="00554362"/>
    <w:rsid w:val="00555442"/>
    <w:rsid w:val="005A0007"/>
    <w:rsid w:val="005C5DEF"/>
    <w:rsid w:val="005D250E"/>
    <w:rsid w:val="005F22A4"/>
    <w:rsid w:val="00602A75"/>
    <w:rsid w:val="00604D04"/>
    <w:rsid w:val="00621FA3"/>
    <w:rsid w:val="00637C9F"/>
    <w:rsid w:val="00666FE5"/>
    <w:rsid w:val="00670589"/>
    <w:rsid w:val="00671816"/>
    <w:rsid w:val="00686CB9"/>
    <w:rsid w:val="00690038"/>
    <w:rsid w:val="00693A84"/>
    <w:rsid w:val="006A38A0"/>
    <w:rsid w:val="006A5D89"/>
    <w:rsid w:val="006B35D5"/>
    <w:rsid w:val="006B5CFB"/>
    <w:rsid w:val="006F5925"/>
    <w:rsid w:val="0073192A"/>
    <w:rsid w:val="0073420E"/>
    <w:rsid w:val="00736459"/>
    <w:rsid w:val="00741E99"/>
    <w:rsid w:val="00744C8E"/>
    <w:rsid w:val="007452D6"/>
    <w:rsid w:val="00750B78"/>
    <w:rsid w:val="0076295C"/>
    <w:rsid w:val="007801B0"/>
    <w:rsid w:val="007A7CD1"/>
    <w:rsid w:val="007B400A"/>
    <w:rsid w:val="007D4070"/>
    <w:rsid w:val="0081028F"/>
    <w:rsid w:val="008149C1"/>
    <w:rsid w:val="00832FEE"/>
    <w:rsid w:val="008469A7"/>
    <w:rsid w:val="00847F09"/>
    <w:rsid w:val="00850491"/>
    <w:rsid w:val="008668BB"/>
    <w:rsid w:val="008924AE"/>
    <w:rsid w:val="008C19EB"/>
    <w:rsid w:val="008C5B4F"/>
    <w:rsid w:val="008C7E55"/>
    <w:rsid w:val="008D0CBA"/>
    <w:rsid w:val="008E0F6B"/>
    <w:rsid w:val="008E1F59"/>
    <w:rsid w:val="008F0C6D"/>
    <w:rsid w:val="00900872"/>
    <w:rsid w:val="00906B7F"/>
    <w:rsid w:val="00915B5F"/>
    <w:rsid w:val="00921670"/>
    <w:rsid w:val="009266EB"/>
    <w:rsid w:val="009327E3"/>
    <w:rsid w:val="0095075A"/>
    <w:rsid w:val="00956AAA"/>
    <w:rsid w:val="00973707"/>
    <w:rsid w:val="009A557B"/>
    <w:rsid w:val="009F1277"/>
    <w:rsid w:val="00A07A1A"/>
    <w:rsid w:val="00A21DAA"/>
    <w:rsid w:val="00A62535"/>
    <w:rsid w:val="00A65979"/>
    <w:rsid w:val="00A76893"/>
    <w:rsid w:val="00A822DE"/>
    <w:rsid w:val="00A871F4"/>
    <w:rsid w:val="00AA7ECF"/>
    <w:rsid w:val="00AB5BFB"/>
    <w:rsid w:val="00AD44E7"/>
    <w:rsid w:val="00AF08A7"/>
    <w:rsid w:val="00B04BA9"/>
    <w:rsid w:val="00B1674E"/>
    <w:rsid w:val="00B23B8F"/>
    <w:rsid w:val="00B256B7"/>
    <w:rsid w:val="00B442A7"/>
    <w:rsid w:val="00B45E57"/>
    <w:rsid w:val="00B5270D"/>
    <w:rsid w:val="00B546EA"/>
    <w:rsid w:val="00B555E5"/>
    <w:rsid w:val="00B653AA"/>
    <w:rsid w:val="00B83A06"/>
    <w:rsid w:val="00BB1C15"/>
    <w:rsid w:val="00BC40EB"/>
    <w:rsid w:val="00BE7C70"/>
    <w:rsid w:val="00C00A5B"/>
    <w:rsid w:val="00C073FE"/>
    <w:rsid w:val="00C27728"/>
    <w:rsid w:val="00C6196E"/>
    <w:rsid w:val="00C67F4A"/>
    <w:rsid w:val="00C7574A"/>
    <w:rsid w:val="00CA2E33"/>
    <w:rsid w:val="00CC4EC1"/>
    <w:rsid w:val="00CD1BD8"/>
    <w:rsid w:val="00CE38E4"/>
    <w:rsid w:val="00D11011"/>
    <w:rsid w:val="00D11012"/>
    <w:rsid w:val="00D130DC"/>
    <w:rsid w:val="00D21B62"/>
    <w:rsid w:val="00D221C7"/>
    <w:rsid w:val="00D27DD7"/>
    <w:rsid w:val="00D317AC"/>
    <w:rsid w:val="00D33FDB"/>
    <w:rsid w:val="00D343F6"/>
    <w:rsid w:val="00D368E7"/>
    <w:rsid w:val="00D46B0B"/>
    <w:rsid w:val="00D63706"/>
    <w:rsid w:val="00D638A0"/>
    <w:rsid w:val="00D644D2"/>
    <w:rsid w:val="00D64B2E"/>
    <w:rsid w:val="00D774BD"/>
    <w:rsid w:val="00D835FD"/>
    <w:rsid w:val="00DA0FE1"/>
    <w:rsid w:val="00DA5809"/>
    <w:rsid w:val="00DC0DC3"/>
    <w:rsid w:val="00DC75EE"/>
    <w:rsid w:val="00DF1B0D"/>
    <w:rsid w:val="00DF3835"/>
    <w:rsid w:val="00E00139"/>
    <w:rsid w:val="00E25277"/>
    <w:rsid w:val="00E34843"/>
    <w:rsid w:val="00E41CC7"/>
    <w:rsid w:val="00E4773B"/>
    <w:rsid w:val="00E65553"/>
    <w:rsid w:val="00E75F83"/>
    <w:rsid w:val="00E864F4"/>
    <w:rsid w:val="00E927E3"/>
    <w:rsid w:val="00EB0F8C"/>
    <w:rsid w:val="00EC1DBA"/>
    <w:rsid w:val="00EC7EC8"/>
    <w:rsid w:val="00ED5F49"/>
    <w:rsid w:val="00F07527"/>
    <w:rsid w:val="00F27262"/>
    <w:rsid w:val="00F30ECF"/>
    <w:rsid w:val="00F443B6"/>
    <w:rsid w:val="00F86B72"/>
    <w:rsid w:val="00FA0FD8"/>
    <w:rsid w:val="00FA3AD9"/>
    <w:rsid w:val="00FE100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15581</Words>
  <Characters>98167</Characters>
  <Application>Microsoft Office Word</Application>
  <DocSecurity>0</DocSecurity>
  <Lines>818</Lines>
  <Paragraphs>227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376</cp:revision>
  <dcterms:created xsi:type="dcterms:W3CDTF">2025-06-25T06:05:00Z</dcterms:created>
  <dcterms:modified xsi:type="dcterms:W3CDTF">2026-02-23T18:00:00Z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id="2hoOTQVs"/&gt;&lt;style id="http://www.zotero.org/styles/ieee" locale="de-DE" hasBibliography="1" bibliographyStyleHasBeenSet="1"/&gt;&lt;prefs&gt;&lt;pref name="fieldType" value="Field"/&gt;&lt;/prefs&gt;&lt;/data&gt;</vt:lpwstr>
  </property>
</Properties>
</file>