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5B8DB4" w14:textId="385316B2" w:rsidR="00743606" w:rsidRDefault="00743606" w:rsidP="00415D65">
      <w:pPr>
        <w:rPr>
          <w:rFonts w:cs="Arial"/>
          <w:b/>
          <w:bCs/>
        </w:rPr>
      </w:pPr>
      <w:r w:rsidRPr="006B35D5">
        <w:rPr>
          <w:rFonts w:cs="Arial"/>
          <w:b/>
          <w:bCs/>
        </w:rPr>
        <w:t>(600 Wörter)</w:t>
      </w:r>
    </w:p>
    <w:p w14:paraId="4F0E496F" w14:textId="7A68824C" w:rsidR="00415D65" w:rsidRPr="00743606" w:rsidRDefault="00415D65" w:rsidP="00415D65">
      <w:pPr>
        <w:rPr>
          <w:rFonts w:cs="Arial"/>
          <w:b/>
          <w:bCs/>
          <w:sz w:val="28"/>
          <w:szCs w:val="28"/>
        </w:rPr>
      </w:pPr>
      <w:r w:rsidRPr="00743606">
        <w:rPr>
          <w:rFonts w:cs="Arial"/>
          <w:b/>
          <w:bCs/>
          <w:sz w:val="28"/>
          <w:szCs w:val="28"/>
        </w:rPr>
        <w:t>4.4 Komponentenauswahl</w:t>
      </w:r>
    </w:p>
    <w:p w14:paraId="1D8F9DAF" w14:textId="77777777" w:rsidR="00743606" w:rsidRPr="00743606" w:rsidRDefault="00415D65" w:rsidP="00743606">
      <w:pPr>
        <w:ind w:left="708"/>
        <w:rPr>
          <w:rFonts w:cs="Arial"/>
          <w:b/>
          <w:bCs/>
          <w:sz w:val="28"/>
          <w:szCs w:val="28"/>
        </w:rPr>
      </w:pPr>
      <w:r w:rsidRPr="00743606">
        <w:rPr>
          <w:rFonts w:cs="Arial"/>
          <w:b/>
          <w:bCs/>
          <w:sz w:val="28"/>
          <w:szCs w:val="28"/>
        </w:rPr>
        <w:t xml:space="preserve">4.4.1 PV-Modul </w:t>
      </w:r>
      <w:proofErr w:type="spellStart"/>
      <w:r w:rsidRPr="00743606">
        <w:rPr>
          <w:rFonts w:cs="Arial"/>
          <w:b/>
          <w:bCs/>
          <w:sz w:val="28"/>
          <w:szCs w:val="28"/>
        </w:rPr>
        <w:t>enjoysolar</w:t>
      </w:r>
      <w:proofErr w:type="spellEnd"/>
      <w:r w:rsidRPr="00743606">
        <w:rPr>
          <w:rFonts w:cs="Arial"/>
          <w:b/>
          <w:bCs/>
          <w:sz w:val="28"/>
          <w:szCs w:val="28"/>
        </w:rPr>
        <w:t xml:space="preserve"> 180W 12V</w:t>
      </w:r>
    </w:p>
    <w:p w14:paraId="0D9D335E" w14:textId="77777777" w:rsidR="00743606" w:rsidRPr="00743606" w:rsidRDefault="00743606" w:rsidP="00743606">
      <w:pPr>
        <w:ind w:left="708"/>
        <w:jc w:val="both"/>
        <w:rPr>
          <w:rFonts w:cs="Arial"/>
        </w:rPr>
      </w:pPr>
      <w:r w:rsidRPr="00743606">
        <w:rPr>
          <w:rFonts w:cs="Arial"/>
        </w:rPr>
        <w:t xml:space="preserve">Das </w:t>
      </w:r>
      <w:proofErr w:type="spellStart"/>
      <w:r w:rsidRPr="00743606">
        <w:rPr>
          <w:rFonts w:cs="Arial"/>
        </w:rPr>
        <w:t>enjoysolar</w:t>
      </w:r>
      <w:proofErr w:type="spellEnd"/>
      <w:r w:rsidRPr="00743606">
        <w:rPr>
          <w:rFonts w:cs="Arial"/>
        </w:rPr>
        <w:t xml:space="preserve"> 180W Modul wurde aufgrund des optimalen Preis-Leistungs-Verhältnisses und der 12V-Systemspannung gewählt. Mit einer Nennleistung von 180W bei 18V Arbeitsspannung und 10A Strom liefert es ausreichend Energie für den Winterbetrieb. Die monokristallinen Zellen erreichen einen Wirkungsgrad von etwa 19%. Das Modul misst 1480×670×35mm und wiegt 12kg, was eine stabile Montage ermöglicht. Der Temperaturkoeffizient von -0,45%/°C bedeutet, dass die Leistung bei höheren Temperaturen leicht sinkt, was im Sommer berücksichtigt werden muss.</w:t>
      </w:r>
    </w:p>
    <w:p w14:paraId="7E91ECB8" w14:textId="77777777" w:rsidR="00743606" w:rsidRPr="00743606" w:rsidRDefault="00743606" w:rsidP="00743606">
      <w:pPr>
        <w:ind w:left="708"/>
        <w:rPr>
          <w:rFonts w:cs="Arial"/>
        </w:rPr>
      </w:pPr>
    </w:p>
    <w:p w14:paraId="621B85B4" w14:textId="77777777" w:rsidR="00743606" w:rsidRPr="00743606" w:rsidRDefault="00415D65" w:rsidP="00743606">
      <w:pPr>
        <w:ind w:left="708"/>
        <w:rPr>
          <w:rFonts w:cs="Arial"/>
          <w:b/>
          <w:bCs/>
          <w:sz w:val="28"/>
          <w:szCs w:val="28"/>
          <w:lang w:val="en-GB"/>
        </w:rPr>
      </w:pPr>
      <w:r w:rsidRPr="00743606">
        <w:rPr>
          <w:rFonts w:cs="Arial"/>
          <w:b/>
          <w:bCs/>
          <w:sz w:val="28"/>
          <w:szCs w:val="28"/>
          <w:lang w:val="en-GB"/>
        </w:rPr>
        <w:t>4.4.2 AGM Super Cycle Batterie 100Ah</w:t>
      </w:r>
    </w:p>
    <w:p w14:paraId="473F4ACD" w14:textId="77777777" w:rsidR="00743606" w:rsidRPr="00743606" w:rsidRDefault="00743606" w:rsidP="00743606">
      <w:pPr>
        <w:ind w:left="708"/>
        <w:jc w:val="both"/>
        <w:rPr>
          <w:rFonts w:cs="Arial"/>
        </w:rPr>
      </w:pPr>
      <w:r w:rsidRPr="00743606">
        <w:rPr>
          <w:rFonts w:cs="Arial"/>
        </w:rPr>
        <w:t xml:space="preserve">Die AGM Super Cycle Technologie kombiniert die Vorteile von AGM-Batterien (wartungsfrei, lageunabhängig) mit erhöhter </w:t>
      </w:r>
      <w:proofErr w:type="spellStart"/>
      <w:r w:rsidRPr="00743606">
        <w:rPr>
          <w:rFonts w:cs="Arial"/>
        </w:rPr>
        <w:t>Zyklenfestigkeit</w:t>
      </w:r>
      <w:proofErr w:type="spellEnd"/>
      <w:r w:rsidRPr="00743606">
        <w:rPr>
          <w:rFonts w:cs="Arial"/>
        </w:rPr>
        <w:t xml:space="preserve">. Mit 100Ah Kapazität bei 12V bietet sie 1200Wh Gesamtenergie, wovon 600Wh nutzbar sind (50% </w:t>
      </w:r>
      <w:proofErr w:type="spellStart"/>
      <w:r w:rsidRPr="00743606">
        <w:rPr>
          <w:rFonts w:cs="Arial"/>
        </w:rPr>
        <w:t>DoD</w:t>
      </w:r>
      <w:proofErr w:type="spellEnd"/>
      <w:r w:rsidRPr="00743606">
        <w:rPr>
          <w:rFonts w:cs="Arial"/>
        </w:rPr>
        <w:t>). Die Batterie verträgt bis zu 400 Zyklen bei 50% Entladetiefe, was bei täglicher Nutzung etwa 1-2 Jahre Lebensdauer bedeutet. Der niedrige Innenwiderstand ermöglicht Ströme bis 800A kurzzeitig. AGM-Batterien arbeiten auch bei niedrigen Temperaturen zuverlässig und sind für Gewächshausanwendungen ideal, da sie keine Ausgasungen produzieren.</w:t>
      </w:r>
    </w:p>
    <w:p w14:paraId="2BDA25BA" w14:textId="77777777" w:rsidR="00743606" w:rsidRPr="00743606" w:rsidRDefault="00743606" w:rsidP="00743606">
      <w:pPr>
        <w:ind w:left="708"/>
        <w:rPr>
          <w:rFonts w:cs="Arial"/>
        </w:rPr>
      </w:pPr>
    </w:p>
    <w:p w14:paraId="6A1D0733" w14:textId="77777777" w:rsidR="00743606" w:rsidRPr="00743606" w:rsidRDefault="00415D65" w:rsidP="00743606">
      <w:pPr>
        <w:ind w:left="708"/>
        <w:rPr>
          <w:rFonts w:cs="Arial"/>
          <w:b/>
          <w:bCs/>
          <w:sz w:val="28"/>
          <w:szCs w:val="28"/>
          <w:lang w:val="en-GB"/>
        </w:rPr>
      </w:pPr>
      <w:r w:rsidRPr="00743606">
        <w:rPr>
          <w:rFonts w:cs="Arial"/>
          <w:b/>
          <w:bCs/>
          <w:sz w:val="28"/>
          <w:szCs w:val="28"/>
          <w:lang w:val="en-GB"/>
        </w:rPr>
        <w:t xml:space="preserve">4.4.3 Victron </w:t>
      </w:r>
      <w:proofErr w:type="spellStart"/>
      <w:r w:rsidRPr="00743606">
        <w:rPr>
          <w:rFonts w:cs="Arial"/>
          <w:b/>
          <w:bCs/>
          <w:sz w:val="28"/>
          <w:szCs w:val="28"/>
          <w:lang w:val="en-GB"/>
        </w:rPr>
        <w:t>MultiPlus</w:t>
      </w:r>
      <w:proofErr w:type="spellEnd"/>
      <w:r w:rsidRPr="00743606">
        <w:rPr>
          <w:rFonts w:cs="Arial"/>
          <w:b/>
          <w:bCs/>
          <w:sz w:val="28"/>
          <w:szCs w:val="28"/>
          <w:lang w:val="en-GB"/>
        </w:rPr>
        <w:t xml:space="preserve"> 12/800</w:t>
      </w:r>
    </w:p>
    <w:p w14:paraId="1590F7D1" w14:textId="77777777" w:rsidR="00743606" w:rsidRPr="00743606" w:rsidRDefault="00743606" w:rsidP="00743606">
      <w:pPr>
        <w:ind w:left="708"/>
        <w:jc w:val="both"/>
        <w:rPr>
          <w:rFonts w:cs="Arial"/>
        </w:rPr>
      </w:pPr>
      <w:r w:rsidRPr="00743606">
        <w:rPr>
          <w:rFonts w:cs="Arial"/>
        </w:rPr>
        <w:t xml:space="preserve">Der </w:t>
      </w:r>
      <w:proofErr w:type="spellStart"/>
      <w:r w:rsidRPr="00743606">
        <w:rPr>
          <w:rFonts w:cs="Arial"/>
        </w:rPr>
        <w:t>MultiPlus</w:t>
      </w:r>
      <w:proofErr w:type="spellEnd"/>
      <w:r w:rsidRPr="00743606">
        <w:rPr>
          <w:rFonts w:cs="Arial"/>
        </w:rPr>
        <w:t xml:space="preserve"> vereint drei Funktionen: MPPT-Laderegler für das PV-Modul, Wechselrichter für 230V-Verbraucher und automatische Netzumschaltung. Die 800VA Dauerleistung bei 12V Eingangsspannung reicht für alle geplanten Verbraucher. Der integrierte MPPT-Regler optimiert kontinuierlich den Arbeitspunkt des PV-Moduls und erhöht den Ertrag um bis zu 30% gegenüber PWM-Reglern. Die automatische Netzumschaltung ermöglicht im Notfall die Einspeisung von Netzstrom, wenn die Batterie kritisch niedrig ist. Der Standby-Verbrauch liegt bei 8W. Die </w:t>
      </w:r>
      <w:proofErr w:type="spellStart"/>
      <w:r w:rsidRPr="00743606">
        <w:rPr>
          <w:rFonts w:cs="Arial"/>
        </w:rPr>
        <w:t>VE.Bus</w:t>
      </w:r>
      <w:proofErr w:type="spellEnd"/>
      <w:r w:rsidRPr="00743606">
        <w:rPr>
          <w:rFonts w:cs="Arial"/>
        </w:rPr>
        <w:t xml:space="preserve">-Schnittstelle erlaubt die Kommunikation mit anderen </w:t>
      </w:r>
      <w:proofErr w:type="spellStart"/>
      <w:r w:rsidRPr="00743606">
        <w:rPr>
          <w:rFonts w:cs="Arial"/>
        </w:rPr>
        <w:t>Victron</w:t>
      </w:r>
      <w:proofErr w:type="spellEnd"/>
      <w:r w:rsidRPr="00743606">
        <w:rPr>
          <w:rFonts w:cs="Arial"/>
        </w:rPr>
        <w:t>-Geräten.</w:t>
      </w:r>
    </w:p>
    <w:p w14:paraId="1846CEBA" w14:textId="77777777" w:rsidR="00743606" w:rsidRPr="00743606" w:rsidRDefault="00743606" w:rsidP="00743606">
      <w:pPr>
        <w:ind w:left="708"/>
        <w:rPr>
          <w:rFonts w:cs="Arial"/>
        </w:rPr>
      </w:pPr>
    </w:p>
    <w:p w14:paraId="5F0AF787" w14:textId="77777777" w:rsidR="00743606" w:rsidRPr="00743606" w:rsidRDefault="00415D65" w:rsidP="00743606">
      <w:pPr>
        <w:ind w:left="708"/>
        <w:rPr>
          <w:rFonts w:cs="Arial"/>
          <w:b/>
          <w:bCs/>
          <w:sz w:val="28"/>
          <w:szCs w:val="28"/>
          <w:lang w:val="en-GB"/>
        </w:rPr>
      </w:pPr>
      <w:r w:rsidRPr="00743606">
        <w:rPr>
          <w:rFonts w:cs="Arial"/>
          <w:b/>
          <w:bCs/>
          <w:sz w:val="28"/>
          <w:szCs w:val="28"/>
          <w:lang w:val="en-GB"/>
        </w:rPr>
        <w:t xml:space="preserve">4.4.4 Victron </w:t>
      </w:r>
      <w:proofErr w:type="spellStart"/>
      <w:r w:rsidRPr="00743606">
        <w:rPr>
          <w:rFonts w:cs="Arial"/>
          <w:b/>
          <w:bCs/>
          <w:sz w:val="28"/>
          <w:szCs w:val="28"/>
          <w:lang w:val="en-GB"/>
        </w:rPr>
        <w:t>SmartShunt</w:t>
      </w:r>
      <w:proofErr w:type="spellEnd"/>
      <w:r w:rsidRPr="00743606">
        <w:rPr>
          <w:rFonts w:cs="Arial"/>
          <w:b/>
          <w:bCs/>
          <w:sz w:val="28"/>
          <w:szCs w:val="28"/>
          <w:lang w:val="en-GB"/>
        </w:rPr>
        <w:t xml:space="preserve"> 500A</w:t>
      </w:r>
    </w:p>
    <w:p w14:paraId="3F0433D6" w14:textId="77777777" w:rsidR="00743606" w:rsidRPr="00743606" w:rsidRDefault="00743606" w:rsidP="00743606">
      <w:pPr>
        <w:ind w:left="708"/>
        <w:jc w:val="both"/>
        <w:rPr>
          <w:rFonts w:cs="Arial"/>
        </w:rPr>
      </w:pPr>
      <w:r w:rsidRPr="00743606">
        <w:rPr>
          <w:rFonts w:cs="Arial"/>
        </w:rPr>
        <w:t xml:space="preserve">Der </w:t>
      </w:r>
      <w:proofErr w:type="spellStart"/>
      <w:r w:rsidRPr="00743606">
        <w:rPr>
          <w:rFonts w:cs="Arial"/>
        </w:rPr>
        <w:t>SmartShunt</w:t>
      </w:r>
      <w:proofErr w:type="spellEnd"/>
      <w:r w:rsidRPr="00743606">
        <w:rPr>
          <w:rFonts w:cs="Arial"/>
        </w:rPr>
        <w:t xml:space="preserve"> misst präzise den Batteriestrom (±0,4% Genauigkeit) und berechnet daraus den State </w:t>
      </w:r>
      <w:proofErr w:type="spellStart"/>
      <w:r w:rsidRPr="00743606">
        <w:rPr>
          <w:rFonts w:cs="Arial"/>
        </w:rPr>
        <w:t>of</w:t>
      </w:r>
      <w:proofErr w:type="spellEnd"/>
      <w:r w:rsidRPr="00743606">
        <w:rPr>
          <w:rFonts w:cs="Arial"/>
        </w:rPr>
        <w:t xml:space="preserve"> Charge (</w:t>
      </w:r>
      <w:proofErr w:type="spellStart"/>
      <w:r w:rsidRPr="00743606">
        <w:rPr>
          <w:rFonts w:cs="Arial"/>
        </w:rPr>
        <w:t>SoC</w:t>
      </w:r>
      <w:proofErr w:type="spellEnd"/>
      <w:r w:rsidRPr="00743606">
        <w:rPr>
          <w:rFonts w:cs="Arial"/>
        </w:rPr>
        <w:t xml:space="preserve">). Mit einer Kapazität bis 500A kann er alle im System auftretenden Ströme erfassen. Die Bluetooth-Schnittstelle ermöglicht die Überwachung per Smartphone-App. Über </w:t>
      </w:r>
      <w:proofErr w:type="spellStart"/>
      <w:r w:rsidRPr="00743606">
        <w:rPr>
          <w:rFonts w:cs="Arial"/>
        </w:rPr>
        <w:t>VE.Direct</w:t>
      </w:r>
      <w:proofErr w:type="spellEnd"/>
      <w:r w:rsidRPr="00743606">
        <w:rPr>
          <w:rFonts w:cs="Arial"/>
        </w:rPr>
        <w:t xml:space="preserve"> überträgt er die Daten an den </w:t>
      </w:r>
      <w:proofErr w:type="spellStart"/>
      <w:r w:rsidRPr="00743606">
        <w:rPr>
          <w:rFonts w:cs="Arial"/>
        </w:rPr>
        <w:t>Cerbo</w:t>
      </w:r>
      <w:proofErr w:type="spellEnd"/>
      <w:r w:rsidRPr="00743606">
        <w:rPr>
          <w:rFonts w:cs="Arial"/>
        </w:rPr>
        <w:t xml:space="preserve"> GX. Die kontinuierliche </w:t>
      </w:r>
      <w:proofErr w:type="spellStart"/>
      <w:r w:rsidRPr="00743606">
        <w:rPr>
          <w:rFonts w:cs="Arial"/>
        </w:rPr>
        <w:t>SoC</w:t>
      </w:r>
      <w:proofErr w:type="spellEnd"/>
      <w:r w:rsidRPr="00743606">
        <w:rPr>
          <w:rFonts w:cs="Arial"/>
        </w:rPr>
        <w:t xml:space="preserve">-Berechnung ist </w:t>
      </w:r>
      <w:proofErr w:type="gramStart"/>
      <w:r w:rsidRPr="00743606">
        <w:rPr>
          <w:rFonts w:cs="Arial"/>
        </w:rPr>
        <w:t>essentiell</w:t>
      </w:r>
      <w:proofErr w:type="gramEnd"/>
      <w:r w:rsidRPr="00743606">
        <w:rPr>
          <w:rFonts w:cs="Arial"/>
        </w:rPr>
        <w:t xml:space="preserve"> für das Lastmanagement, da der ESP32 anhand dieser Daten Entscheidungen über Lastabwürfe trifft. Der </w:t>
      </w:r>
      <w:proofErr w:type="spellStart"/>
      <w:r w:rsidRPr="00743606">
        <w:rPr>
          <w:rFonts w:cs="Arial"/>
        </w:rPr>
        <w:t>SmartShunt</w:t>
      </w:r>
      <w:proofErr w:type="spellEnd"/>
      <w:r w:rsidRPr="00743606">
        <w:rPr>
          <w:rFonts w:cs="Arial"/>
        </w:rPr>
        <w:t xml:space="preserve"> verbraucht selbst nur 0,1W.</w:t>
      </w:r>
    </w:p>
    <w:p w14:paraId="0A1D1710" w14:textId="77777777" w:rsidR="00743606" w:rsidRDefault="00743606" w:rsidP="00743606">
      <w:pPr>
        <w:ind w:left="708"/>
        <w:rPr>
          <w:rFonts w:cs="Arial"/>
          <w:lang w:val="en-GB"/>
        </w:rPr>
      </w:pPr>
    </w:p>
    <w:p w14:paraId="34217564" w14:textId="77777777" w:rsidR="00743606" w:rsidRPr="00743606" w:rsidRDefault="00415D65" w:rsidP="00743606">
      <w:pPr>
        <w:ind w:left="708"/>
        <w:rPr>
          <w:rFonts w:cs="Arial"/>
          <w:b/>
          <w:bCs/>
          <w:sz w:val="28"/>
          <w:szCs w:val="28"/>
          <w:lang w:val="en-GB"/>
        </w:rPr>
      </w:pPr>
      <w:r w:rsidRPr="00743606">
        <w:rPr>
          <w:rFonts w:cs="Arial"/>
          <w:b/>
          <w:bCs/>
          <w:sz w:val="28"/>
          <w:szCs w:val="28"/>
          <w:lang w:val="en-GB"/>
        </w:rPr>
        <w:t>4.4.5 Victron Cerbo GX und GX Touch 50</w:t>
      </w:r>
    </w:p>
    <w:p w14:paraId="37B450F4" w14:textId="77777777" w:rsidR="00743606" w:rsidRPr="00743606" w:rsidRDefault="00743606" w:rsidP="00743606">
      <w:pPr>
        <w:ind w:left="708"/>
        <w:jc w:val="both"/>
        <w:rPr>
          <w:rFonts w:cs="Arial"/>
        </w:rPr>
      </w:pPr>
      <w:r w:rsidRPr="00743606">
        <w:rPr>
          <w:rFonts w:cs="Arial"/>
        </w:rPr>
        <w:lastRenderedPageBreak/>
        <w:t xml:space="preserve">Der </w:t>
      </w:r>
      <w:proofErr w:type="spellStart"/>
      <w:r w:rsidRPr="00743606">
        <w:rPr>
          <w:rFonts w:cs="Arial"/>
        </w:rPr>
        <w:t>Cerbo</w:t>
      </w:r>
      <w:proofErr w:type="spellEnd"/>
      <w:r w:rsidRPr="00743606">
        <w:rPr>
          <w:rFonts w:cs="Arial"/>
        </w:rPr>
        <w:t xml:space="preserve"> GX ist die zentrale Überwachungs- und Steuereinheit des Systems. Er sammelt Daten von allen </w:t>
      </w:r>
      <w:proofErr w:type="spellStart"/>
      <w:r w:rsidRPr="00743606">
        <w:rPr>
          <w:rFonts w:cs="Arial"/>
        </w:rPr>
        <w:t>Victron</w:t>
      </w:r>
      <w:proofErr w:type="spellEnd"/>
      <w:r w:rsidRPr="00743606">
        <w:rPr>
          <w:rFonts w:cs="Arial"/>
        </w:rPr>
        <w:t xml:space="preserve">-Komponenten über </w:t>
      </w:r>
      <w:proofErr w:type="spellStart"/>
      <w:r w:rsidRPr="00743606">
        <w:rPr>
          <w:rFonts w:cs="Arial"/>
        </w:rPr>
        <w:t>VE.Bus</w:t>
      </w:r>
      <w:proofErr w:type="spellEnd"/>
      <w:r w:rsidRPr="00743606">
        <w:rPr>
          <w:rFonts w:cs="Arial"/>
        </w:rPr>
        <w:t xml:space="preserve"> und </w:t>
      </w:r>
      <w:proofErr w:type="spellStart"/>
      <w:r w:rsidRPr="00743606">
        <w:rPr>
          <w:rFonts w:cs="Arial"/>
        </w:rPr>
        <w:t>VE.Direct</w:t>
      </w:r>
      <w:proofErr w:type="spellEnd"/>
      <w:r w:rsidRPr="00743606">
        <w:rPr>
          <w:rFonts w:cs="Arial"/>
        </w:rPr>
        <w:t xml:space="preserve"> und stellt sie über das VRM-Portal im Internet bereit. Der integrierte Webserver ermöglicht lokalen Zugriff über WLAN. Mit Modbus TCP können externe Geräte wie der ESP32 auf die Systemdaten zugreifen. Der </w:t>
      </w:r>
      <w:proofErr w:type="spellStart"/>
      <w:r w:rsidRPr="00743606">
        <w:rPr>
          <w:rFonts w:cs="Arial"/>
        </w:rPr>
        <w:t>Cerbo</w:t>
      </w:r>
      <w:proofErr w:type="spellEnd"/>
      <w:r w:rsidRPr="00743606">
        <w:rPr>
          <w:rFonts w:cs="Arial"/>
        </w:rPr>
        <w:t xml:space="preserve"> verbraucht 3-5W und arbeitet im Bereich 8-70V DC.</w:t>
      </w:r>
    </w:p>
    <w:p w14:paraId="1B927A55" w14:textId="77777777" w:rsidR="00743606" w:rsidRPr="00743606" w:rsidRDefault="00743606" w:rsidP="00743606">
      <w:pPr>
        <w:ind w:left="708"/>
        <w:jc w:val="both"/>
        <w:rPr>
          <w:rFonts w:cs="Arial"/>
        </w:rPr>
      </w:pPr>
      <w:r w:rsidRPr="00743606">
        <w:rPr>
          <w:rFonts w:cs="Arial"/>
        </w:rPr>
        <w:t xml:space="preserve">Das </w:t>
      </w:r>
      <w:proofErr w:type="gramStart"/>
      <w:r w:rsidRPr="00743606">
        <w:rPr>
          <w:rFonts w:cs="Arial"/>
        </w:rPr>
        <w:t>GX Touch</w:t>
      </w:r>
      <w:proofErr w:type="gramEnd"/>
      <w:r w:rsidRPr="00743606">
        <w:rPr>
          <w:rFonts w:cs="Arial"/>
        </w:rPr>
        <w:t xml:space="preserve"> 50 ist ein 5-Zoll Touchscreen-Display mit 800×480 Pixeln und IP54-Schutzklasse. Es zeigt alle relevanten Systemdaten übersichtlich an: Batteriespannung, </w:t>
      </w:r>
      <w:proofErr w:type="spellStart"/>
      <w:r w:rsidRPr="00743606">
        <w:rPr>
          <w:rFonts w:cs="Arial"/>
        </w:rPr>
        <w:t>SoC</w:t>
      </w:r>
      <w:proofErr w:type="spellEnd"/>
      <w:r w:rsidRPr="00743606">
        <w:rPr>
          <w:rFonts w:cs="Arial"/>
        </w:rPr>
        <w:t>, PV-Leistung, Verbrauch und Warnungen. Die Bedienung erfolgt intuitiv über das Touch-Interface. Das 2m lange Kabel ermöglicht flexible Platzierung im Schaltschrank.</w:t>
      </w:r>
    </w:p>
    <w:p w14:paraId="43CDED84" w14:textId="77777777" w:rsidR="00743606" w:rsidRPr="00743606" w:rsidRDefault="00743606" w:rsidP="00743606">
      <w:pPr>
        <w:ind w:left="708"/>
        <w:rPr>
          <w:rFonts w:cs="Arial"/>
        </w:rPr>
      </w:pPr>
    </w:p>
    <w:p w14:paraId="722405F5" w14:textId="61F94D90" w:rsidR="00415D65" w:rsidRPr="00743606" w:rsidRDefault="00415D65" w:rsidP="00743606">
      <w:pPr>
        <w:ind w:left="708"/>
        <w:rPr>
          <w:rFonts w:cs="Arial"/>
          <w:b/>
          <w:bCs/>
          <w:sz w:val="28"/>
          <w:szCs w:val="28"/>
        </w:rPr>
      </w:pPr>
      <w:r w:rsidRPr="00743606">
        <w:rPr>
          <w:rFonts w:cs="Arial"/>
          <w:b/>
          <w:bCs/>
          <w:sz w:val="28"/>
          <w:szCs w:val="28"/>
        </w:rPr>
        <w:t>4.4.6 Weitere Komponenten (Orion, Mean Well, Verkabelung)</w:t>
      </w:r>
    </w:p>
    <w:p w14:paraId="0E247026" w14:textId="77777777" w:rsidR="00743606" w:rsidRPr="00743606" w:rsidRDefault="00743606" w:rsidP="00743606">
      <w:pPr>
        <w:ind w:left="708"/>
        <w:jc w:val="both"/>
        <w:rPr>
          <w:rFonts w:cs="Arial"/>
        </w:rPr>
      </w:pPr>
      <w:proofErr w:type="spellStart"/>
      <w:r w:rsidRPr="00743606">
        <w:rPr>
          <w:rFonts w:cs="Arial"/>
          <w:b/>
          <w:bCs/>
        </w:rPr>
        <w:t>Victron</w:t>
      </w:r>
      <w:proofErr w:type="spellEnd"/>
      <w:r w:rsidRPr="00743606">
        <w:rPr>
          <w:rFonts w:cs="Arial"/>
          <w:b/>
          <w:bCs/>
        </w:rPr>
        <w:t xml:space="preserve"> Orion 12/12-16:</w:t>
      </w:r>
      <w:r w:rsidRPr="00743606">
        <w:rPr>
          <w:rFonts w:cs="Arial"/>
        </w:rPr>
        <w:t xml:space="preserve"> Dieser DC/DC-Wandler mit galvanischer Trennung versorgt das Sensorsystem mit sauberen 12V. Die galvanische Trennung verhindert Störungen und Masseschleifen zwischen Energiesystem und Sensorik. Mit 16A Ausgangsleistung ist ausreichend Reserve vorhanden.</w:t>
      </w:r>
    </w:p>
    <w:p w14:paraId="26EF132F" w14:textId="77777777" w:rsidR="00743606" w:rsidRPr="00743606" w:rsidRDefault="00743606" w:rsidP="00743606">
      <w:pPr>
        <w:ind w:left="708"/>
        <w:jc w:val="both"/>
        <w:rPr>
          <w:rFonts w:cs="Arial"/>
        </w:rPr>
      </w:pPr>
      <w:r w:rsidRPr="00743606">
        <w:rPr>
          <w:rFonts w:cs="Arial"/>
          <w:b/>
          <w:bCs/>
        </w:rPr>
        <w:t>Mean Well DDR-60G-5:</w:t>
      </w:r>
      <w:r w:rsidRPr="00743606">
        <w:rPr>
          <w:rFonts w:cs="Arial"/>
        </w:rPr>
        <w:t xml:space="preserve"> Wandelt 12V in stabile 5V für den ESP32 und andere Komponenten mit bis zu 12A Ausgangsstrom. Der hohe Wirkungsgrad von 89% minimiert Verluste.</w:t>
      </w:r>
    </w:p>
    <w:p w14:paraId="3CBFC073" w14:textId="77777777" w:rsidR="00743606" w:rsidRPr="00743606" w:rsidRDefault="00743606" w:rsidP="00743606">
      <w:pPr>
        <w:ind w:left="708"/>
        <w:jc w:val="both"/>
        <w:rPr>
          <w:rFonts w:cs="Arial"/>
        </w:rPr>
      </w:pPr>
      <w:r w:rsidRPr="00743606">
        <w:rPr>
          <w:rFonts w:cs="Arial"/>
          <w:b/>
          <w:bCs/>
        </w:rPr>
        <w:t>Verkabelung:</w:t>
      </w:r>
      <w:r w:rsidRPr="00743606">
        <w:rPr>
          <w:rFonts w:cs="Arial"/>
        </w:rPr>
        <w:t xml:space="preserve"> 6mm² Kabel für Hochstromverbindungen (Batterie, </w:t>
      </w:r>
      <w:proofErr w:type="spellStart"/>
      <w:r w:rsidRPr="00743606">
        <w:rPr>
          <w:rFonts w:cs="Arial"/>
        </w:rPr>
        <w:t>MultiPlus</w:t>
      </w:r>
      <w:proofErr w:type="spellEnd"/>
      <w:r w:rsidRPr="00743606">
        <w:rPr>
          <w:rFonts w:cs="Arial"/>
        </w:rPr>
        <w:t xml:space="preserve">) reduzieren Leitungsverluste auf unter 1%. 1,5mm² dreiadrig für 230V-Verbindungen. MC4-Stecker für PV-Anschluss gewährleisten wetterfeste Verbindungen. Blade-Sicherungen (30A) schützen vor Kurzschlüssen. Ring-Kabelschuhe M8 für sichere Verschraubungen an Batterie und </w:t>
      </w:r>
      <w:proofErr w:type="spellStart"/>
      <w:r w:rsidRPr="00743606">
        <w:rPr>
          <w:rFonts w:cs="Arial"/>
        </w:rPr>
        <w:t>Victron</w:t>
      </w:r>
      <w:proofErr w:type="spellEnd"/>
      <w:r w:rsidRPr="00743606">
        <w:rPr>
          <w:rFonts w:cs="Arial"/>
        </w:rPr>
        <w:t>-Geräten.</w:t>
      </w:r>
    </w:p>
    <w:p w14:paraId="66C481B5" w14:textId="77777777" w:rsidR="00743606" w:rsidRPr="00743606" w:rsidRDefault="00743606" w:rsidP="00743606">
      <w:pPr>
        <w:ind w:left="708"/>
        <w:rPr>
          <w:rFonts w:cs="Arial"/>
        </w:rPr>
      </w:pPr>
    </w:p>
    <w:p w14:paraId="33E8F893" w14:textId="77777777" w:rsidR="00F443B6" w:rsidRPr="00743606" w:rsidRDefault="00F443B6"/>
    <w:sectPr w:rsidR="00F443B6" w:rsidRPr="0074360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BF0"/>
    <w:rsid w:val="000C52CA"/>
    <w:rsid w:val="00415D65"/>
    <w:rsid w:val="00444FFB"/>
    <w:rsid w:val="00743606"/>
    <w:rsid w:val="00946BF0"/>
    <w:rsid w:val="00C27728"/>
    <w:rsid w:val="00D317AC"/>
    <w:rsid w:val="00F4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C54CF"/>
  <w15:chartTrackingRefBased/>
  <w15:docId w15:val="{4699D971-4C94-41FC-B312-FEA3139DE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A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415D65"/>
  </w:style>
  <w:style w:type="paragraph" w:styleId="berschrift1">
    <w:name w:val="heading 1"/>
    <w:basedOn w:val="Standard"/>
    <w:next w:val="Standard"/>
    <w:link w:val="berschrift1Zchn"/>
    <w:uiPriority w:val="9"/>
    <w:qFormat/>
    <w:rsid w:val="00946B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46B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46B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46B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46B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46B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46B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46B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46B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46B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46B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46B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46BF0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46BF0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46BF0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46BF0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46BF0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46BF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46B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46B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46B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46B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46B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46BF0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946BF0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46BF0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46B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46BF0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46B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557</Words>
  <Characters>3512</Characters>
  <Application>Microsoft Office Word</Application>
  <DocSecurity>0</DocSecurity>
  <Lines>29</Lines>
  <Paragraphs>8</Paragraphs>
  <ScaleCrop>false</ScaleCrop>
  <Company/>
  <LinksUpToDate>false</LinksUpToDate>
  <CharactersWithSpaces>4061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BAUMANN Christian, SchülerIn</dc:creator>
  <cp:keywords/>
  <dc:description/>
  <cp:lastModifiedBy>BAUMANN Christian, SchülerIn</cp:lastModifiedBy>
  <cp:revision>3</cp:revision>
  <dcterms:created xsi:type="dcterms:W3CDTF">2025-12-17T09:04:00Z</dcterms:created>
  <dcterms:modified xsi:type="dcterms:W3CDTF">2025-12-17T09:21:00Z</dcterms:modified>
</cp:coreProperties>
</file>