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4F73E" w14:textId="77777777" w:rsidR="00352E40" w:rsidRPr="00352E40" w:rsidRDefault="00352E40" w:rsidP="00352E40">
      <w:pPr>
        <w:spacing w:before="100" w:beforeAutospacing="1" w:after="100" w:afterAutospacing="1"/>
        <w:jc w:val="both"/>
        <w:outlineLvl w:val="0"/>
        <w:rPr>
          <w:rFonts w:eastAsia="Times New Roman" w:cs="Times New Roman"/>
          <w:b/>
          <w:bCs/>
          <w:color w:val="0F4761" w:themeColor="accent1" w:themeShade="BF"/>
          <w:kern w:val="36"/>
          <w:sz w:val="44"/>
          <w:szCs w:val="44"/>
          <w:lang w:val="de-AT" w:eastAsia="de-AT"/>
        </w:rPr>
      </w:pPr>
      <w:r w:rsidRPr="00352E40">
        <w:rPr>
          <w:rFonts w:eastAsia="Times New Roman" w:cs="Times New Roman"/>
          <w:b/>
          <w:bCs/>
          <w:color w:val="0F4761" w:themeColor="accent1" w:themeShade="BF"/>
          <w:kern w:val="36"/>
          <w:sz w:val="44"/>
          <w:szCs w:val="44"/>
          <w:lang w:val="de-AT" w:eastAsia="de-AT"/>
        </w:rPr>
        <w:t>4.7 Wirtschaftliche Analyse</w:t>
      </w:r>
    </w:p>
    <w:p w14:paraId="281DF1B9" w14:textId="77777777" w:rsidR="00352E40" w:rsidRPr="00352E40" w:rsidRDefault="00352E40" w:rsidP="00352E40">
      <w:pPr>
        <w:spacing w:before="100" w:beforeAutospacing="1" w:after="100" w:afterAutospacing="1"/>
        <w:jc w:val="both"/>
        <w:outlineLvl w:val="1"/>
        <w:rPr>
          <w:rFonts w:eastAsia="Times New Roman" w:cs="Times New Roman"/>
          <w:b/>
          <w:bCs/>
          <w:color w:val="0F4761" w:themeColor="accent1" w:themeShade="BF"/>
          <w:sz w:val="32"/>
          <w:szCs w:val="32"/>
          <w:lang w:val="de-AT" w:eastAsia="de-AT"/>
        </w:rPr>
      </w:pPr>
      <w:r w:rsidRPr="00352E40">
        <w:rPr>
          <w:rFonts w:eastAsia="Times New Roman" w:cs="Times New Roman"/>
          <w:b/>
          <w:bCs/>
          <w:color w:val="0F4761" w:themeColor="accent1" w:themeShade="BF"/>
          <w:sz w:val="32"/>
          <w:szCs w:val="32"/>
          <w:lang w:val="de-AT" w:eastAsia="de-AT"/>
        </w:rPr>
        <w:t>4.7.1 ROI-Berechnung des PV-Systems</w:t>
      </w:r>
    </w:p>
    <w:p w14:paraId="1FCF04C6"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Bei der wirtschaftlichen Betrachtung des Energie-Management-Systems steht die Frage im Vordergrund, in welchem Zeitraum sich die Investition in das Photovoltaik- und Speichersystem amortisiert. Grundlage für die Berechnung </w:t>
      </w:r>
      <w:proofErr w:type="gramStart"/>
      <w:r w:rsidRPr="00352E40">
        <w:rPr>
          <w:rFonts w:eastAsia="Times New Roman" w:cs="Times New Roman"/>
          <w:sz w:val="22"/>
          <w:szCs w:val="22"/>
          <w:lang w:val="de-AT" w:eastAsia="de-AT"/>
        </w:rPr>
        <w:t>des Return</w:t>
      </w:r>
      <w:proofErr w:type="gramEnd"/>
      <w:r w:rsidRPr="00352E40">
        <w:rPr>
          <w:rFonts w:eastAsia="Times New Roman" w:cs="Times New Roman"/>
          <w:sz w:val="22"/>
          <w:szCs w:val="22"/>
          <w:lang w:val="de-AT" w:eastAsia="de-AT"/>
        </w:rPr>
        <w:t xml:space="preserve"> on Investment (ROI) sind die Anschaffungs- und Installationskosten, die jährlichen Einsparungen durch den selbst erzeugten Strom sowie die erwartete Lebensdauer der Systemkomponenten.</w:t>
      </w:r>
    </w:p>
    <w:p w14:paraId="63F6ED1B"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Hinweis zur Kostenabgrenzung: Die nachfolgenden Berechnungen beziehen sich ausschließlich auf das Energie-Management-Modul, das die Photovoltaikmodule, Batteriespeicher, Wechselrichter, </w:t>
      </w:r>
      <w:proofErr w:type="spellStart"/>
      <w:r w:rsidRPr="00352E40">
        <w:rPr>
          <w:rFonts w:eastAsia="Times New Roman" w:cs="Times New Roman"/>
          <w:sz w:val="22"/>
          <w:szCs w:val="22"/>
          <w:lang w:val="de-AT" w:eastAsia="de-AT"/>
        </w:rPr>
        <w:t>Stromsensorik</w:t>
      </w:r>
      <w:proofErr w:type="spellEnd"/>
      <w:r w:rsidRPr="00352E40">
        <w:rPr>
          <w:rFonts w:eastAsia="Times New Roman" w:cs="Times New Roman"/>
          <w:sz w:val="22"/>
          <w:szCs w:val="22"/>
          <w:lang w:val="de-AT" w:eastAsia="de-AT"/>
        </w:rPr>
        <w:t xml:space="preserve"> und die entsprechende Steuerungselektronik (ESP32-Controller, Display, Gehäuse) umfasst. Alle weiteren Systemkomponenten wie Klimaüberwachung, Bewässerung, Beleuchtung, Belüftung und KI-gestützte Analyse werden separat bilanziert und nicht in dieser ROI-Berechnung berücksichtigt.</w:t>
      </w:r>
    </w:p>
    <w:p w14:paraId="12F30219"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Für das entwickelte Prototyp-Energiesystem wurde ein 150 W-Photovoltaikmodul (</w:t>
      </w:r>
      <w:proofErr w:type="spellStart"/>
      <w:r w:rsidRPr="00352E40">
        <w:rPr>
          <w:rFonts w:eastAsia="Times New Roman" w:cs="Times New Roman"/>
          <w:sz w:val="22"/>
          <w:szCs w:val="22"/>
          <w:lang w:val="de-AT" w:eastAsia="de-AT"/>
        </w:rPr>
        <w:t>enjoysolar</w:t>
      </w:r>
      <w:proofErr w:type="spellEnd"/>
      <w:r w:rsidRPr="00352E40">
        <w:rPr>
          <w:rFonts w:eastAsia="Times New Roman" w:cs="Times New Roman"/>
          <w:sz w:val="22"/>
          <w:szCs w:val="22"/>
          <w:lang w:val="de-AT" w:eastAsia="de-AT"/>
        </w:rPr>
        <w:t xml:space="preserve">, Abmessungen: 101 × 76,5 × 3 cm, Fläche ≈ 0,7 m²), ein 12 V 100 Ah </w:t>
      </w:r>
      <w:proofErr w:type="spellStart"/>
      <w:r w:rsidRPr="00352E40">
        <w:rPr>
          <w:rFonts w:eastAsia="Times New Roman" w:cs="Times New Roman"/>
          <w:sz w:val="22"/>
          <w:szCs w:val="22"/>
          <w:lang w:val="de-AT" w:eastAsia="de-AT"/>
        </w:rPr>
        <w:t>LiFePO</w:t>
      </w:r>
      <w:proofErr w:type="spellEnd"/>
      <w:r w:rsidRPr="00352E40">
        <w:rPr>
          <w:rFonts w:eastAsia="Times New Roman" w:cs="Times New Roman"/>
          <w:sz w:val="22"/>
          <w:szCs w:val="22"/>
          <w:lang w:val="de-AT" w:eastAsia="de-AT"/>
        </w:rPr>
        <w:t xml:space="preserve">₄-Akkusystem (KEPWORTH, Speicherkapazität 1.280 Wh), ein </w:t>
      </w:r>
      <w:proofErr w:type="spellStart"/>
      <w:r w:rsidRPr="00352E40">
        <w:rPr>
          <w:rFonts w:eastAsia="Times New Roman" w:cs="Times New Roman"/>
          <w:sz w:val="22"/>
          <w:szCs w:val="22"/>
          <w:lang w:val="de-AT" w:eastAsia="de-AT"/>
        </w:rPr>
        <w:t>Victron</w:t>
      </w:r>
      <w:proofErr w:type="spellEnd"/>
      <w:r w:rsidRPr="00352E40">
        <w:rPr>
          <w:rFonts w:eastAsia="Times New Roman" w:cs="Times New Roman"/>
          <w:sz w:val="22"/>
          <w:szCs w:val="22"/>
          <w:lang w:val="de-AT" w:eastAsia="de-AT"/>
        </w:rPr>
        <w:t xml:space="preserve"> </w:t>
      </w:r>
      <w:proofErr w:type="spellStart"/>
      <w:r w:rsidRPr="00352E40">
        <w:rPr>
          <w:rFonts w:eastAsia="Times New Roman" w:cs="Times New Roman"/>
          <w:sz w:val="22"/>
          <w:szCs w:val="22"/>
          <w:lang w:val="de-AT" w:eastAsia="de-AT"/>
        </w:rPr>
        <w:t>MultiPlus</w:t>
      </w:r>
      <w:proofErr w:type="spellEnd"/>
      <w:r w:rsidRPr="00352E40">
        <w:rPr>
          <w:rFonts w:eastAsia="Times New Roman" w:cs="Times New Roman"/>
          <w:sz w:val="22"/>
          <w:szCs w:val="22"/>
          <w:lang w:val="de-AT" w:eastAsia="de-AT"/>
        </w:rPr>
        <w:t xml:space="preserve"> 12/800 Wechselrichter mit integriertem MPPT-Laderegler, ein </w:t>
      </w:r>
      <w:proofErr w:type="spellStart"/>
      <w:r w:rsidRPr="00352E40">
        <w:rPr>
          <w:rFonts w:eastAsia="Times New Roman" w:cs="Times New Roman"/>
          <w:sz w:val="22"/>
          <w:szCs w:val="22"/>
          <w:lang w:val="de-AT" w:eastAsia="de-AT"/>
        </w:rPr>
        <w:t>Victron</w:t>
      </w:r>
      <w:proofErr w:type="spellEnd"/>
      <w:r w:rsidRPr="00352E40">
        <w:rPr>
          <w:rFonts w:eastAsia="Times New Roman" w:cs="Times New Roman"/>
          <w:sz w:val="22"/>
          <w:szCs w:val="22"/>
          <w:lang w:val="de-AT" w:eastAsia="de-AT"/>
        </w:rPr>
        <w:t xml:space="preserve"> </w:t>
      </w:r>
      <w:proofErr w:type="spellStart"/>
      <w:r w:rsidRPr="00352E40">
        <w:rPr>
          <w:rFonts w:eastAsia="Times New Roman" w:cs="Times New Roman"/>
          <w:sz w:val="22"/>
          <w:szCs w:val="22"/>
          <w:lang w:val="de-AT" w:eastAsia="de-AT"/>
        </w:rPr>
        <w:t>SmartShunt</w:t>
      </w:r>
      <w:proofErr w:type="spellEnd"/>
      <w:r w:rsidRPr="00352E40">
        <w:rPr>
          <w:rFonts w:eastAsia="Times New Roman" w:cs="Times New Roman"/>
          <w:sz w:val="22"/>
          <w:szCs w:val="22"/>
          <w:lang w:val="de-AT" w:eastAsia="de-AT"/>
        </w:rPr>
        <w:t xml:space="preserve"> 500A Präzisions-Stromsensor sowie weitere elektronische Komponenten (DC/DC-Wandler, Verkabelung, Sicherungen und Gehäuse) verwendet. Die Gesamtkosten für die Energieerzeugung und -speicherung des Prototyps liegen bei rund 1.184 €.</w:t>
      </w:r>
    </w:p>
    <w:p w14:paraId="0FA43208" w14:textId="77777777" w:rsidR="00352E40" w:rsidRPr="00352E40" w:rsidRDefault="00352E40" w:rsidP="00352E40">
      <w:pPr>
        <w:spacing w:before="100" w:beforeAutospacing="1" w:after="100" w:afterAutospacing="1"/>
        <w:jc w:val="both"/>
        <w:rPr>
          <w:rFonts w:eastAsia="Times New Roman" w:cs="Times New Roman"/>
          <w:color w:val="0F4761" w:themeColor="accent1" w:themeShade="BF"/>
          <w:sz w:val="22"/>
          <w:szCs w:val="22"/>
          <w:lang w:val="de-AT" w:eastAsia="de-AT"/>
        </w:rPr>
      </w:pPr>
      <w:r w:rsidRPr="00352E40">
        <w:rPr>
          <w:rFonts w:eastAsia="Times New Roman" w:cs="Times New Roman"/>
          <w:b/>
          <w:bCs/>
          <w:color w:val="0F4761" w:themeColor="accent1" w:themeShade="BF"/>
          <w:sz w:val="22"/>
          <w:szCs w:val="22"/>
          <w:lang w:val="de-AT" w:eastAsia="de-AT"/>
        </w:rPr>
        <w:t>Prototyp-System (1 Modul):</w:t>
      </w:r>
    </w:p>
    <w:p w14:paraId="2920122F"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Das Photovoltaikmodul mit 150 W Leistung erzeugt bei 5 Sonnenstunden pro Tag eine tägliche Energieerzeugung von ca. 750 Wh (150 W × 5 h = 750 Wh). Hochgerechnet auf ein Jahr ergibt das eine Gesamtenergie von ca. 274 kWh (750 Wh × 365 Tage ÷ 1.000). Bei einem durchschnittlichen österreichischen Strompreis von 0,30 €/kWh ergibt sich daraus eine jährliche Kosteneinsparung von etwa 82,20 € (274 kWh × 0,30 €/kWh).</w:t>
      </w:r>
    </w:p>
    <w:p w14:paraId="4E664E2B" w14:textId="77777777" w:rsidR="00352E40" w:rsidRPr="00352E40" w:rsidRDefault="00352E40" w:rsidP="00352E40">
      <w:pPr>
        <w:spacing w:before="100" w:beforeAutospacing="1" w:after="100" w:afterAutospacing="1"/>
        <w:jc w:val="both"/>
        <w:rPr>
          <w:rFonts w:eastAsia="Times New Roman" w:cs="Times New Roman"/>
          <w:color w:val="0F4761" w:themeColor="accent1" w:themeShade="BF"/>
          <w:sz w:val="22"/>
          <w:szCs w:val="22"/>
          <w:lang w:val="de-AT" w:eastAsia="de-AT"/>
        </w:rPr>
      </w:pPr>
      <w:r w:rsidRPr="00352E40">
        <w:rPr>
          <w:rFonts w:eastAsia="Times New Roman" w:cs="Times New Roman"/>
          <w:b/>
          <w:bCs/>
          <w:color w:val="0F4761" w:themeColor="accent1" w:themeShade="BF"/>
          <w:sz w:val="22"/>
          <w:szCs w:val="22"/>
          <w:lang w:val="de-AT" w:eastAsia="de-AT"/>
        </w:rPr>
        <w:t>Skalierung auf 10 m² Gewächshaus:</w:t>
      </w:r>
    </w:p>
    <w:p w14:paraId="45D1B132"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Da das vorliegende System als Prototyp dient, steht hier nicht der absolute Ertrag, sondern die Skalierbarkeit auf reale Anwendungen im Vordergrund. Für ein 10 m² großes Gewächshaus kann die verfügbare Dachfläche nahezu vollständig mit Photovoltaikmodulen bestückt werden. Bei einer Modulgröße von 0,7 m² lassen sich 14 Module (≈ 9,8 m²) montieren. Dadurch erhöht sich die installierte Leistung von 150 W auf 2.100 W (2,1 kWp) (14 × 150 W = 2.100 W).</w:t>
      </w:r>
    </w:p>
    <w:p w14:paraId="1887A262"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Unter vergleichbaren Einstrahlungsbedingungen (5 Sonnenstunden pro Tag) kann diese Anlage 3.835 kWh pro Jahr erzeugen (2.100 W × 5 h × 365 Tage ÷ 1.000 = 3.832,5 kWh). Bei einem durchschnittlichen österreichischen Strompreis von 0,30 €/kWh entspricht das einem jährlichen Gegenwert von rund 1.151 € (3.835 kWh × 0,30 €/kWh).</w:t>
      </w:r>
    </w:p>
    <w:p w14:paraId="266D4D90" w14:textId="77777777" w:rsidR="00352E40" w:rsidRPr="00352E40" w:rsidRDefault="00352E40" w:rsidP="00352E40">
      <w:pPr>
        <w:spacing w:before="100" w:beforeAutospacing="1" w:after="100" w:afterAutospacing="1"/>
        <w:jc w:val="both"/>
        <w:rPr>
          <w:rFonts w:eastAsia="Times New Roman" w:cs="Times New Roman"/>
          <w:color w:val="0F4761" w:themeColor="accent1" w:themeShade="BF"/>
          <w:sz w:val="22"/>
          <w:szCs w:val="22"/>
          <w:lang w:val="de-AT" w:eastAsia="de-AT"/>
        </w:rPr>
      </w:pPr>
      <w:r w:rsidRPr="00352E40">
        <w:rPr>
          <w:rFonts w:eastAsia="Times New Roman" w:cs="Times New Roman"/>
          <w:b/>
          <w:bCs/>
          <w:color w:val="0F4761" w:themeColor="accent1" w:themeShade="BF"/>
          <w:sz w:val="22"/>
          <w:szCs w:val="22"/>
          <w:lang w:val="de-AT" w:eastAsia="de-AT"/>
        </w:rPr>
        <w:t>Investitionskosten für das Energie-Management-Modul:</w:t>
      </w:r>
    </w:p>
    <w:p w14:paraId="4A455D7C"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lastRenderedPageBreak/>
        <w:t xml:space="preserve">Die Investitionskosten für das Energie-Management-Modul (PV-Module: 14 × 150 W, Montagematerial, Verkabelung, Batteriespeicher, Wechselrichter, </w:t>
      </w:r>
      <w:proofErr w:type="spellStart"/>
      <w:r w:rsidRPr="00352E40">
        <w:rPr>
          <w:rFonts w:eastAsia="Times New Roman" w:cs="Times New Roman"/>
          <w:sz w:val="22"/>
          <w:szCs w:val="22"/>
          <w:lang w:val="de-AT" w:eastAsia="de-AT"/>
        </w:rPr>
        <w:t>Stromsensorik</w:t>
      </w:r>
      <w:proofErr w:type="spellEnd"/>
      <w:r w:rsidRPr="00352E40">
        <w:rPr>
          <w:rFonts w:eastAsia="Times New Roman" w:cs="Times New Roman"/>
          <w:sz w:val="22"/>
          <w:szCs w:val="22"/>
          <w:lang w:val="de-AT" w:eastAsia="de-AT"/>
        </w:rPr>
        <w:t>, Steuerungselektronik, Display und Gehäuse) für das 10 m² Gewächshaus betragen ca. 3.000–3.500 €.</w:t>
      </w:r>
    </w:p>
    <w:p w14:paraId="62204585" w14:textId="77777777" w:rsidR="00352E40" w:rsidRPr="00352E40" w:rsidRDefault="00352E40" w:rsidP="00352E40">
      <w:pPr>
        <w:spacing w:before="100" w:beforeAutospacing="1" w:after="100" w:afterAutospacing="1"/>
        <w:jc w:val="both"/>
        <w:outlineLvl w:val="2"/>
        <w:rPr>
          <w:rFonts w:eastAsia="Times New Roman" w:cs="Times New Roman"/>
          <w:b/>
          <w:bCs/>
          <w:color w:val="0F4761" w:themeColor="accent1" w:themeShade="BF"/>
          <w:lang w:val="de-AT" w:eastAsia="de-AT"/>
        </w:rPr>
      </w:pPr>
      <w:r w:rsidRPr="00352E40">
        <w:rPr>
          <w:rFonts w:eastAsia="Times New Roman" w:cs="Times New Roman"/>
          <w:b/>
          <w:bCs/>
          <w:color w:val="0F4761" w:themeColor="accent1" w:themeShade="BF"/>
          <w:lang w:val="de-AT" w:eastAsia="de-AT"/>
        </w:rPr>
        <w:t>Berechnung und Herleitung der ROI-Prozentsätze</w:t>
      </w:r>
    </w:p>
    <w:p w14:paraId="0B17F99A" w14:textId="77777777" w:rsidR="00352E40" w:rsidRPr="00352E40" w:rsidRDefault="00352E40" w:rsidP="00DF1312">
      <w:pPr>
        <w:spacing w:before="120" w:after="0"/>
        <w:jc w:val="both"/>
        <w:rPr>
          <w:rFonts w:eastAsia="Times New Roman" w:cs="Times New Roman"/>
          <w:sz w:val="22"/>
          <w:szCs w:val="22"/>
          <w:lang w:val="de-AT" w:eastAsia="de-AT"/>
        </w:rPr>
      </w:pPr>
      <w:r w:rsidRPr="00352E40">
        <w:rPr>
          <w:rFonts w:eastAsia="Times New Roman" w:cs="Times New Roman"/>
          <w:sz w:val="22"/>
          <w:szCs w:val="22"/>
          <w:lang w:val="de-AT" w:eastAsia="de-AT"/>
        </w:rPr>
        <w:t>Der ROI wird berechnet aus dem Verhältnis zwischen dem jährlichen Ertrag (eingesparte Energiekosten) und der Investition in das Energie-Management-Modul:</w:t>
      </w:r>
    </w:p>
    <w:p w14:paraId="31CF4D35" w14:textId="77777777" w:rsidR="00352E40" w:rsidRPr="00352E40" w:rsidRDefault="00352E40" w:rsidP="00DF1312">
      <w:pPr>
        <w:spacing w:before="120" w:after="0"/>
        <w:jc w:val="both"/>
        <w:rPr>
          <w:rFonts w:eastAsia="Times New Roman" w:cs="Times New Roman"/>
          <w:sz w:val="22"/>
          <w:szCs w:val="22"/>
          <w:lang w:val="de-AT" w:eastAsia="de-AT"/>
        </w:rPr>
      </w:pPr>
      <w:r w:rsidRPr="00352E40">
        <w:rPr>
          <w:rFonts w:eastAsia="Times New Roman" w:cs="Times New Roman"/>
          <w:sz w:val="22"/>
          <w:szCs w:val="22"/>
          <w:lang w:val="de-AT" w:eastAsia="de-AT"/>
        </w:rPr>
        <w:t>ROI = (jährlicher Nutzen / Investition) × 100</w:t>
      </w:r>
    </w:p>
    <w:p w14:paraId="78D1AFEF" w14:textId="77777777" w:rsidR="00352E40" w:rsidRPr="00352E40" w:rsidRDefault="00352E40" w:rsidP="00DF1312">
      <w:pPr>
        <w:spacing w:before="120" w:after="0"/>
        <w:jc w:val="both"/>
        <w:rPr>
          <w:rFonts w:eastAsia="Times New Roman" w:cs="Times New Roman"/>
          <w:sz w:val="22"/>
          <w:szCs w:val="22"/>
          <w:lang w:val="de-AT" w:eastAsia="de-AT"/>
        </w:rPr>
      </w:pPr>
      <w:r w:rsidRPr="00352E40">
        <w:rPr>
          <w:rFonts w:eastAsia="Times New Roman" w:cs="Times New Roman"/>
          <w:sz w:val="22"/>
          <w:szCs w:val="22"/>
          <w:lang w:val="de-AT" w:eastAsia="de-AT"/>
        </w:rPr>
        <w:t>Beispiel: jährliche Einsparung = 1.151 €, Investition = 3.250 €</w:t>
      </w:r>
    </w:p>
    <w:p w14:paraId="1F57612E" w14:textId="77777777" w:rsidR="00352E40" w:rsidRPr="00352E40" w:rsidRDefault="00352E40" w:rsidP="00DF1312">
      <w:pPr>
        <w:spacing w:before="120" w:after="0"/>
        <w:jc w:val="both"/>
        <w:rPr>
          <w:rFonts w:eastAsia="Times New Roman" w:cs="Times New Roman"/>
          <w:sz w:val="22"/>
          <w:szCs w:val="22"/>
          <w:lang w:val="de-AT" w:eastAsia="de-AT"/>
        </w:rPr>
      </w:pPr>
      <w:r w:rsidRPr="00352E40">
        <w:rPr>
          <w:rFonts w:eastAsia="Times New Roman" w:cs="Times New Roman"/>
          <w:sz w:val="22"/>
          <w:szCs w:val="22"/>
          <w:lang w:val="de-AT" w:eastAsia="de-AT"/>
        </w:rPr>
        <w:t>ROI = (1.151 / 3.250) × 100 ≈ 35,41 % ≈ 35 %</w:t>
      </w:r>
    </w:p>
    <w:p w14:paraId="7637F733" w14:textId="77777777" w:rsidR="00352E40" w:rsidRPr="00352E40" w:rsidRDefault="00352E40" w:rsidP="00DF1312">
      <w:pPr>
        <w:spacing w:before="120" w:after="0"/>
        <w:jc w:val="both"/>
        <w:rPr>
          <w:rFonts w:eastAsia="Times New Roman" w:cs="Times New Roman"/>
          <w:sz w:val="22"/>
          <w:szCs w:val="22"/>
          <w:lang w:val="de-AT" w:eastAsia="de-AT"/>
        </w:rPr>
      </w:pPr>
      <w:r w:rsidRPr="00352E40">
        <w:rPr>
          <w:rFonts w:eastAsia="Times New Roman" w:cs="Times New Roman"/>
          <w:sz w:val="22"/>
          <w:szCs w:val="22"/>
          <w:lang w:val="de-AT" w:eastAsia="de-AT"/>
        </w:rPr>
        <w:t>Damit liegt die durchschnittliche jährliche Kapitalrendite bei rund 35 %.</w:t>
      </w:r>
    </w:p>
    <w:p w14:paraId="5C136965" w14:textId="6614C10C" w:rsidR="00352E40" w:rsidRPr="00352E40" w:rsidRDefault="00352E40" w:rsidP="00DF1312">
      <w:pPr>
        <w:spacing w:before="120" w:after="0"/>
        <w:jc w:val="both"/>
        <w:rPr>
          <w:rFonts w:eastAsia="Times New Roman" w:cs="Times New Roman"/>
          <w:sz w:val="22"/>
          <w:szCs w:val="22"/>
          <w:lang w:val="de-AT" w:eastAsia="de-AT"/>
        </w:rPr>
      </w:pPr>
      <w:r w:rsidRPr="00352E40">
        <w:rPr>
          <w:rFonts w:eastAsia="Times New Roman" w:cs="Times New Roman"/>
          <w:sz w:val="22"/>
          <w:szCs w:val="22"/>
          <w:lang w:val="de-AT" w:eastAsia="de-AT"/>
        </w:rPr>
        <w:t>Da die Strompreise in Österreich in den letzten Jahren im Mittel um 4–6</w:t>
      </w:r>
      <w:r w:rsidR="00AB5CD8" w:rsidRPr="00467F8F">
        <w:rPr>
          <w:rFonts w:eastAsia="Times New Roman" w:cs="Times New Roman"/>
          <w:sz w:val="22"/>
          <w:szCs w:val="22"/>
          <w:lang w:val="de-AT" w:eastAsia="de-AT"/>
        </w:rPr>
        <w:t> </w:t>
      </w:r>
      <w:r w:rsidRPr="00352E40">
        <w:rPr>
          <w:rFonts w:eastAsia="Times New Roman" w:cs="Times New Roman"/>
          <w:sz w:val="22"/>
          <w:szCs w:val="22"/>
          <w:lang w:val="de-AT" w:eastAsia="de-AT"/>
        </w:rPr>
        <w:t>% pro Jahr gestiegen sind (vgl. Statistik Austria 2024; E-Control 2024), verbessert sich der ROI im Zeitverlauf zusätzlich. Wird diese Preissteigerung berücksichtigt, erhöht sich die jährliche Einsparung über den Betriebszeitraum hinweg deutlich.</w:t>
      </w:r>
    </w:p>
    <w:p w14:paraId="6FBF29EB"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Zur Analyse wird ein konservatives Szenario mit 4 % jährlicher Strompreissteigerung angenommen (unterer Bereich der dokumentierten Spannweite). Bei diesem Szenario ergibt sich folgende Entwicklung der jährlichen Einsparungen: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6"/>
        <w:gridCol w:w="1701"/>
        <w:gridCol w:w="2612"/>
      </w:tblGrid>
      <w:tr w:rsidR="00352E40" w:rsidRPr="00467F8F" w14:paraId="39C773D7" w14:textId="77777777" w:rsidTr="00AB5CD8">
        <w:trPr>
          <w:tblHeader/>
          <w:tblCellSpacing w:w="15" w:type="dxa"/>
        </w:trPr>
        <w:tc>
          <w:tcPr>
            <w:tcW w:w="851" w:type="dxa"/>
            <w:vAlign w:val="center"/>
            <w:hideMark/>
          </w:tcPr>
          <w:p w14:paraId="13B82199" w14:textId="77777777" w:rsidR="00352E40" w:rsidRPr="00352E40" w:rsidRDefault="00352E40" w:rsidP="00352E40">
            <w:pPr>
              <w:spacing w:after="0"/>
              <w:jc w:val="both"/>
              <w:rPr>
                <w:rFonts w:eastAsia="Times New Roman" w:cs="Times New Roman"/>
                <w:b/>
                <w:bCs/>
                <w:color w:val="0F4761" w:themeColor="accent1" w:themeShade="BF"/>
                <w:sz w:val="22"/>
                <w:szCs w:val="22"/>
                <w:lang w:val="de-AT" w:eastAsia="de-AT"/>
              </w:rPr>
            </w:pPr>
            <w:r w:rsidRPr="00352E40">
              <w:rPr>
                <w:rFonts w:eastAsia="Times New Roman" w:cs="Times New Roman"/>
                <w:b/>
                <w:bCs/>
                <w:color w:val="0F4761" w:themeColor="accent1" w:themeShade="BF"/>
                <w:sz w:val="22"/>
                <w:szCs w:val="22"/>
                <w:lang w:val="de-AT" w:eastAsia="de-AT"/>
              </w:rPr>
              <w:t>Jahr</w:t>
            </w:r>
          </w:p>
        </w:tc>
        <w:tc>
          <w:tcPr>
            <w:tcW w:w="1671" w:type="dxa"/>
            <w:vAlign w:val="center"/>
            <w:hideMark/>
          </w:tcPr>
          <w:p w14:paraId="19ED9C90" w14:textId="77777777" w:rsidR="00352E40" w:rsidRPr="00352E40" w:rsidRDefault="00352E40" w:rsidP="00352E40">
            <w:pPr>
              <w:spacing w:after="0"/>
              <w:jc w:val="both"/>
              <w:rPr>
                <w:rFonts w:eastAsia="Times New Roman" w:cs="Times New Roman"/>
                <w:b/>
                <w:bCs/>
                <w:color w:val="0F4761" w:themeColor="accent1" w:themeShade="BF"/>
                <w:sz w:val="22"/>
                <w:szCs w:val="22"/>
                <w:lang w:val="de-AT" w:eastAsia="de-AT"/>
              </w:rPr>
            </w:pPr>
            <w:r w:rsidRPr="00352E40">
              <w:rPr>
                <w:rFonts w:eastAsia="Times New Roman" w:cs="Times New Roman"/>
                <w:b/>
                <w:bCs/>
                <w:color w:val="0F4761" w:themeColor="accent1" w:themeShade="BF"/>
                <w:sz w:val="22"/>
                <w:szCs w:val="22"/>
                <w:lang w:val="de-AT" w:eastAsia="de-AT"/>
              </w:rPr>
              <w:t>Strompreis</w:t>
            </w:r>
          </w:p>
        </w:tc>
        <w:tc>
          <w:tcPr>
            <w:tcW w:w="2567" w:type="dxa"/>
            <w:vAlign w:val="center"/>
            <w:hideMark/>
          </w:tcPr>
          <w:p w14:paraId="4B9BF9B5" w14:textId="272787BE" w:rsidR="00352E40" w:rsidRPr="00352E40" w:rsidRDefault="00352E40" w:rsidP="00352E40">
            <w:pPr>
              <w:spacing w:after="0"/>
              <w:jc w:val="both"/>
              <w:rPr>
                <w:rFonts w:eastAsia="Times New Roman" w:cs="Times New Roman"/>
                <w:b/>
                <w:bCs/>
                <w:color w:val="0F4761" w:themeColor="accent1" w:themeShade="BF"/>
                <w:sz w:val="22"/>
                <w:szCs w:val="22"/>
                <w:lang w:val="de-AT" w:eastAsia="de-AT"/>
              </w:rPr>
            </w:pPr>
            <w:r w:rsidRPr="00352E40">
              <w:rPr>
                <w:rFonts w:eastAsia="Times New Roman" w:cs="Times New Roman"/>
                <w:b/>
                <w:bCs/>
                <w:color w:val="0F4761" w:themeColor="accent1" w:themeShade="BF"/>
                <w:sz w:val="22"/>
                <w:szCs w:val="22"/>
                <w:lang w:val="de-AT" w:eastAsia="de-AT"/>
              </w:rPr>
              <w:t>Jährliche</w:t>
            </w:r>
            <w:r w:rsidR="00AB5CD8" w:rsidRPr="00467F8F">
              <w:rPr>
                <w:rFonts w:eastAsia="Times New Roman" w:cs="Times New Roman"/>
                <w:b/>
                <w:bCs/>
                <w:color w:val="0F4761" w:themeColor="accent1" w:themeShade="BF"/>
                <w:sz w:val="22"/>
                <w:szCs w:val="22"/>
                <w:lang w:val="de-AT" w:eastAsia="de-AT"/>
              </w:rPr>
              <w:t> </w:t>
            </w:r>
            <w:r w:rsidRPr="00352E40">
              <w:rPr>
                <w:rFonts w:eastAsia="Times New Roman" w:cs="Times New Roman"/>
                <w:b/>
                <w:bCs/>
                <w:color w:val="0F4761" w:themeColor="accent1" w:themeShade="BF"/>
                <w:sz w:val="22"/>
                <w:szCs w:val="22"/>
                <w:lang w:val="de-AT" w:eastAsia="de-AT"/>
              </w:rPr>
              <w:t>Einsparung</w:t>
            </w:r>
          </w:p>
        </w:tc>
      </w:tr>
      <w:tr w:rsidR="00AB5CD8" w:rsidRPr="00467F8F" w14:paraId="389FA49F" w14:textId="77777777" w:rsidTr="00AB5CD8">
        <w:trPr>
          <w:tblCellSpacing w:w="15" w:type="dxa"/>
        </w:trPr>
        <w:tc>
          <w:tcPr>
            <w:tcW w:w="851" w:type="dxa"/>
            <w:vAlign w:val="center"/>
            <w:hideMark/>
          </w:tcPr>
          <w:p w14:paraId="33B3C5D7"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w:t>
            </w:r>
          </w:p>
        </w:tc>
        <w:tc>
          <w:tcPr>
            <w:tcW w:w="1671" w:type="dxa"/>
            <w:vAlign w:val="center"/>
            <w:hideMark/>
          </w:tcPr>
          <w:p w14:paraId="12B98E91"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0,3000 €</w:t>
            </w:r>
          </w:p>
        </w:tc>
        <w:tc>
          <w:tcPr>
            <w:tcW w:w="2567" w:type="dxa"/>
            <w:vAlign w:val="center"/>
            <w:hideMark/>
          </w:tcPr>
          <w:p w14:paraId="739F12C2"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1.151 €</w:t>
            </w:r>
          </w:p>
        </w:tc>
      </w:tr>
      <w:tr w:rsidR="00AB5CD8" w:rsidRPr="00467F8F" w14:paraId="1152B812" w14:textId="77777777" w:rsidTr="00AB5CD8">
        <w:trPr>
          <w:tblCellSpacing w:w="15" w:type="dxa"/>
        </w:trPr>
        <w:tc>
          <w:tcPr>
            <w:tcW w:w="851" w:type="dxa"/>
            <w:vAlign w:val="center"/>
            <w:hideMark/>
          </w:tcPr>
          <w:p w14:paraId="5F7B433F"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2</w:t>
            </w:r>
          </w:p>
        </w:tc>
        <w:tc>
          <w:tcPr>
            <w:tcW w:w="1671" w:type="dxa"/>
            <w:vAlign w:val="center"/>
            <w:hideMark/>
          </w:tcPr>
          <w:p w14:paraId="16CFBFC6"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0,3120 €</w:t>
            </w:r>
          </w:p>
        </w:tc>
        <w:tc>
          <w:tcPr>
            <w:tcW w:w="2567" w:type="dxa"/>
            <w:vAlign w:val="center"/>
            <w:hideMark/>
          </w:tcPr>
          <w:p w14:paraId="3AFCDA62"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1.197 €</w:t>
            </w:r>
          </w:p>
        </w:tc>
      </w:tr>
      <w:tr w:rsidR="00AB5CD8" w:rsidRPr="00467F8F" w14:paraId="22A3F159" w14:textId="77777777" w:rsidTr="00AB5CD8">
        <w:trPr>
          <w:tblCellSpacing w:w="15" w:type="dxa"/>
        </w:trPr>
        <w:tc>
          <w:tcPr>
            <w:tcW w:w="851" w:type="dxa"/>
            <w:vAlign w:val="center"/>
            <w:hideMark/>
          </w:tcPr>
          <w:p w14:paraId="2D6C558B"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3</w:t>
            </w:r>
          </w:p>
        </w:tc>
        <w:tc>
          <w:tcPr>
            <w:tcW w:w="1671" w:type="dxa"/>
            <w:vAlign w:val="center"/>
            <w:hideMark/>
          </w:tcPr>
          <w:p w14:paraId="301A8885"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0,3245 €</w:t>
            </w:r>
          </w:p>
        </w:tc>
        <w:tc>
          <w:tcPr>
            <w:tcW w:w="2567" w:type="dxa"/>
            <w:vAlign w:val="center"/>
            <w:hideMark/>
          </w:tcPr>
          <w:p w14:paraId="04F413B0"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1.245 €</w:t>
            </w:r>
          </w:p>
        </w:tc>
      </w:tr>
      <w:tr w:rsidR="00AB5CD8" w:rsidRPr="00467F8F" w14:paraId="322E9997" w14:textId="77777777" w:rsidTr="00AB5CD8">
        <w:trPr>
          <w:tblCellSpacing w:w="15" w:type="dxa"/>
        </w:trPr>
        <w:tc>
          <w:tcPr>
            <w:tcW w:w="851" w:type="dxa"/>
            <w:vAlign w:val="center"/>
            <w:hideMark/>
          </w:tcPr>
          <w:p w14:paraId="066EB5D5"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4</w:t>
            </w:r>
          </w:p>
        </w:tc>
        <w:tc>
          <w:tcPr>
            <w:tcW w:w="1671" w:type="dxa"/>
            <w:vAlign w:val="center"/>
            <w:hideMark/>
          </w:tcPr>
          <w:p w14:paraId="60425F54"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0,3375 €</w:t>
            </w:r>
          </w:p>
        </w:tc>
        <w:tc>
          <w:tcPr>
            <w:tcW w:w="2567" w:type="dxa"/>
            <w:vAlign w:val="center"/>
            <w:hideMark/>
          </w:tcPr>
          <w:p w14:paraId="6D500722"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1.295 €</w:t>
            </w:r>
          </w:p>
        </w:tc>
      </w:tr>
      <w:tr w:rsidR="00AB5CD8" w:rsidRPr="00467F8F" w14:paraId="79FEB3F4" w14:textId="77777777" w:rsidTr="00AB5CD8">
        <w:trPr>
          <w:tblCellSpacing w:w="15" w:type="dxa"/>
        </w:trPr>
        <w:tc>
          <w:tcPr>
            <w:tcW w:w="851" w:type="dxa"/>
            <w:vAlign w:val="center"/>
            <w:hideMark/>
          </w:tcPr>
          <w:p w14:paraId="40C7019C"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5</w:t>
            </w:r>
          </w:p>
        </w:tc>
        <w:tc>
          <w:tcPr>
            <w:tcW w:w="1671" w:type="dxa"/>
            <w:vAlign w:val="center"/>
            <w:hideMark/>
          </w:tcPr>
          <w:p w14:paraId="2D9589A7"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0,3510 €</w:t>
            </w:r>
          </w:p>
        </w:tc>
        <w:tc>
          <w:tcPr>
            <w:tcW w:w="2567" w:type="dxa"/>
            <w:vAlign w:val="center"/>
            <w:hideMark/>
          </w:tcPr>
          <w:p w14:paraId="5CCE862F"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1.347 €</w:t>
            </w:r>
          </w:p>
        </w:tc>
      </w:tr>
      <w:tr w:rsidR="00AB5CD8" w:rsidRPr="00467F8F" w14:paraId="41DFD15B" w14:textId="77777777" w:rsidTr="00AB5CD8">
        <w:trPr>
          <w:tblCellSpacing w:w="15" w:type="dxa"/>
        </w:trPr>
        <w:tc>
          <w:tcPr>
            <w:tcW w:w="851" w:type="dxa"/>
            <w:vAlign w:val="center"/>
            <w:hideMark/>
          </w:tcPr>
          <w:p w14:paraId="3B4A93A6"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6</w:t>
            </w:r>
          </w:p>
        </w:tc>
        <w:tc>
          <w:tcPr>
            <w:tcW w:w="1671" w:type="dxa"/>
            <w:vAlign w:val="center"/>
            <w:hideMark/>
          </w:tcPr>
          <w:p w14:paraId="370F1275"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0,3650 €</w:t>
            </w:r>
          </w:p>
        </w:tc>
        <w:tc>
          <w:tcPr>
            <w:tcW w:w="2567" w:type="dxa"/>
            <w:vAlign w:val="center"/>
            <w:hideMark/>
          </w:tcPr>
          <w:p w14:paraId="5843F376"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1.401 €</w:t>
            </w:r>
          </w:p>
        </w:tc>
      </w:tr>
      <w:tr w:rsidR="00AB5CD8" w:rsidRPr="00467F8F" w14:paraId="4F913696" w14:textId="77777777" w:rsidTr="00AB5CD8">
        <w:trPr>
          <w:tblCellSpacing w:w="15" w:type="dxa"/>
        </w:trPr>
        <w:tc>
          <w:tcPr>
            <w:tcW w:w="851" w:type="dxa"/>
            <w:vAlign w:val="center"/>
            <w:hideMark/>
          </w:tcPr>
          <w:p w14:paraId="426F6195"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7</w:t>
            </w:r>
          </w:p>
        </w:tc>
        <w:tc>
          <w:tcPr>
            <w:tcW w:w="1671" w:type="dxa"/>
            <w:vAlign w:val="center"/>
            <w:hideMark/>
          </w:tcPr>
          <w:p w14:paraId="45FF5C95"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0,3796 €</w:t>
            </w:r>
          </w:p>
        </w:tc>
        <w:tc>
          <w:tcPr>
            <w:tcW w:w="2567" w:type="dxa"/>
            <w:vAlign w:val="center"/>
            <w:hideMark/>
          </w:tcPr>
          <w:p w14:paraId="708F9698"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1.457 €</w:t>
            </w:r>
          </w:p>
        </w:tc>
      </w:tr>
      <w:tr w:rsidR="00AB5CD8" w:rsidRPr="00467F8F" w14:paraId="6F422D02" w14:textId="77777777" w:rsidTr="00AB5CD8">
        <w:trPr>
          <w:tblCellSpacing w:w="15" w:type="dxa"/>
        </w:trPr>
        <w:tc>
          <w:tcPr>
            <w:tcW w:w="851" w:type="dxa"/>
            <w:vAlign w:val="center"/>
            <w:hideMark/>
          </w:tcPr>
          <w:p w14:paraId="10E7EB97"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8</w:t>
            </w:r>
          </w:p>
        </w:tc>
        <w:tc>
          <w:tcPr>
            <w:tcW w:w="1671" w:type="dxa"/>
            <w:vAlign w:val="center"/>
            <w:hideMark/>
          </w:tcPr>
          <w:p w14:paraId="2C45C431"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0,3948 €</w:t>
            </w:r>
          </w:p>
        </w:tc>
        <w:tc>
          <w:tcPr>
            <w:tcW w:w="2567" w:type="dxa"/>
            <w:vAlign w:val="center"/>
            <w:hideMark/>
          </w:tcPr>
          <w:p w14:paraId="0B845875"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1.515 €</w:t>
            </w:r>
          </w:p>
        </w:tc>
      </w:tr>
      <w:tr w:rsidR="00AB5CD8" w:rsidRPr="00467F8F" w14:paraId="2302E831" w14:textId="77777777" w:rsidTr="00AB5CD8">
        <w:trPr>
          <w:tblCellSpacing w:w="15" w:type="dxa"/>
        </w:trPr>
        <w:tc>
          <w:tcPr>
            <w:tcW w:w="851" w:type="dxa"/>
            <w:vAlign w:val="center"/>
            <w:hideMark/>
          </w:tcPr>
          <w:p w14:paraId="58C5A1E2"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9</w:t>
            </w:r>
          </w:p>
        </w:tc>
        <w:tc>
          <w:tcPr>
            <w:tcW w:w="1671" w:type="dxa"/>
            <w:vAlign w:val="center"/>
            <w:hideMark/>
          </w:tcPr>
          <w:p w14:paraId="30E03431"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0,4107 €</w:t>
            </w:r>
          </w:p>
        </w:tc>
        <w:tc>
          <w:tcPr>
            <w:tcW w:w="2567" w:type="dxa"/>
            <w:vAlign w:val="center"/>
            <w:hideMark/>
          </w:tcPr>
          <w:p w14:paraId="243F1485"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1.576 €</w:t>
            </w:r>
          </w:p>
        </w:tc>
      </w:tr>
      <w:tr w:rsidR="00AB5CD8" w:rsidRPr="00467F8F" w14:paraId="5B21823C" w14:textId="77777777" w:rsidTr="00AB5CD8">
        <w:trPr>
          <w:tblCellSpacing w:w="15" w:type="dxa"/>
        </w:trPr>
        <w:tc>
          <w:tcPr>
            <w:tcW w:w="851" w:type="dxa"/>
            <w:vAlign w:val="center"/>
            <w:hideMark/>
          </w:tcPr>
          <w:p w14:paraId="41926A48"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10</w:t>
            </w:r>
          </w:p>
        </w:tc>
        <w:tc>
          <w:tcPr>
            <w:tcW w:w="1671" w:type="dxa"/>
            <w:vAlign w:val="center"/>
            <w:hideMark/>
          </w:tcPr>
          <w:p w14:paraId="290414C3"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0,4271 €</w:t>
            </w:r>
          </w:p>
        </w:tc>
        <w:tc>
          <w:tcPr>
            <w:tcW w:w="2567" w:type="dxa"/>
            <w:vAlign w:val="center"/>
            <w:hideMark/>
          </w:tcPr>
          <w:p w14:paraId="1C9D570E" w14:textId="77777777" w:rsidR="00352E40" w:rsidRPr="00352E40" w:rsidRDefault="00352E40" w:rsidP="00352E40">
            <w:pPr>
              <w:spacing w:after="0"/>
              <w:jc w:val="both"/>
              <w:rPr>
                <w:rFonts w:eastAsia="Times New Roman" w:cs="Times New Roman"/>
                <w:sz w:val="22"/>
                <w:szCs w:val="22"/>
                <w:lang w:val="de-AT" w:eastAsia="de-AT"/>
              </w:rPr>
            </w:pPr>
            <w:r w:rsidRPr="00352E40">
              <w:rPr>
                <w:rFonts w:eastAsia="Times New Roman" w:cs="Times New Roman"/>
                <w:sz w:val="22"/>
                <w:szCs w:val="22"/>
                <w:lang w:val="de-AT" w:eastAsia="de-AT"/>
              </w:rPr>
              <w:t>1.639 €</w:t>
            </w:r>
          </w:p>
        </w:tc>
      </w:tr>
    </w:tbl>
    <w:p w14:paraId="2F8E22F2"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Die kumulierten Einsparungen über zehn Jahre betragen ca. 12.800–12.900 €. Die durchschnittliche jährliche Rendite wird berechnet als: Kumulierte Einsparungen / Investition / Anzahl Jahre = 12.850 € / 3.250 € / 10 Jahre ≈ 39–40 % durchschnittliche</w:t>
      </w:r>
      <w:r w:rsidRPr="00352E40">
        <w:rPr>
          <w:rFonts w:eastAsia="Times New Roman" w:cs="Times New Roman"/>
          <w:b/>
          <w:bCs/>
          <w:sz w:val="22"/>
          <w:szCs w:val="22"/>
          <w:lang w:val="de-AT" w:eastAsia="de-AT"/>
        </w:rPr>
        <w:t xml:space="preserve"> </w:t>
      </w:r>
      <w:r w:rsidRPr="00352E40">
        <w:rPr>
          <w:rFonts w:eastAsia="Times New Roman" w:cs="Times New Roman"/>
          <w:sz w:val="22"/>
          <w:szCs w:val="22"/>
          <w:lang w:val="de-AT" w:eastAsia="de-AT"/>
        </w:rPr>
        <w:t>jährliche Rendite.</w:t>
      </w:r>
    </w:p>
    <w:p w14:paraId="714A4903" w14:textId="77777777" w:rsidR="00172671" w:rsidRDefault="00172671" w:rsidP="00352E40">
      <w:pPr>
        <w:spacing w:before="100" w:beforeAutospacing="1" w:after="100" w:afterAutospacing="1"/>
        <w:jc w:val="both"/>
        <w:outlineLvl w:val="1"/>
        <w:rPr>
          <w:rFonts w:eastAsia="Times New Roman" w:cs="Times New Roman"/>
          <w:b/>
          <w:bCs/>
          <w:color w:val="0F4761" w:themeColor="accent1" w:themeShade="BF"/>
          <w:lang w:val="de-AT" w:eastAsia="de-AT"/>
        </w:rPr>
      </w:pPr>
    </w:p>
    <w:p w14:paraId="2DD28330" w14:textId="77777777" w:rsidR="00172671" w:rsidRDefault="00172671" w:rsidP="00352E40">
      <w:pPr>
        <w:spacing w:before="100" w:beforeAutospacing="1" w:after="100" w:afterAutospacing="1"/>
        <w:jc w:val="both"/>
        <w:outlineLvl w:val="1"/>
        <w:rPr>
          <w:rFonts w:eastAsia="Times New Roman" w:cs="Times New Roman"/>
          <w:b/>
          <w:bCs/>
          <w:color w:val="0F4761" w:themeColor="accent1" w:themeShade="BF"/>
          <w:lang w:val="de-AT" w:eastAsia="de-AT"/>
        </w:rPr>
      </w:pPr>
    </w:p>
    <w:p w14:paraId="0AA2CAC2" w14:textId="77777777" w:rsidR="00172671" w:rsidRDefault="00172671" w:rsidP="00352E40">
      <w:pPr>
        <w:spacing w:before="100" w:beforeAutospacing="1" w:after="100" w:afterAutospacing="1"/>
        <w:jc w:val="both"/>
        <w:outlineLvl w:val="1"/>
        <w:rPr>
          <w:rFonts w:eastAsia="Times New Roman" w:cs="Times New Roman"/>
          <w:b/>
          <w:bCs/>
          <w:color w:val="0F4761" w:themeColor="accent1" w:themeShade="BF"/>
          <w:lang w:val="de-AT" w:eastAsia="de-AT"/>
        </w:rPr>
      </w:pPr>
    </w:p>
    <w:p w14:paraId="31D56BA0" w14:textId="0CDC23EA" w:rsidR="00352E40" w:rsidRPr="00352E40" w:rsidRDefault="00352E40" w:rsidP="00352E40">
      <w:pPr>
        <w:spacing w:before="100" w:beforeAutospacing="1" w:after="100" w:afterAutospacing="1"/>
        <w:jc w:val="both"/>
        <w:outlineLvl w:val="1"/>
        <w:rPr>
          <w:rFonts w:eastAsia="Times New Roman" w:cs="Times New Roman"/>
          <w:b/>
          <w:bCs/>
          <w:color w:val="0F4761" w:themeColor="accent1" w:themeShade="BF"/>
          <w:sz w:val="32"/>
          <w:szCs w:val="32"/>
          <w:lang w:val="de-AT" w:eastAsia="de-AT"/>
        </w:rPr>
      </w:pPr>
      <w:r w:rsidRPr="00352E40">
        <w:rPr>
          <w:rFonts w:eastAsia="Times New Roman" w:cs="Times New Roman"/>
          <w:b/>
          <w:bCs/>
          <w:color w:val="0F4761" w:themeColor="accent1" w:themeShade="BF"/>
          <w:sz w:val="32"/>
          <w:szCs w:val="32"/>
          <w:lang w:val="de-AT" w:eastAsia="de-AT"/>
        </w:rPr>
        <w:lastRenderedPageBreak/>
        <w:t>4.7.</w:t>
      </w:r>
      <w:r w:rsidR="00796693">
        <w:rPr>
          <w:rFonts w:eastAsia="Times New Roman" w:cs="Times New Roman"/>
          <w:b/>
          <w:bCs/>
          <w:color w:val="0F4761" w:themeColor="accent1" w:themeShade="BF"/>
          <w:sz w:val="32"/>
          <w:szCs w:val="32"/>
          <w:lang w:val="de-AT" w:eastAsia="de-AT"/>
        </w:rPr>
        <w:t>2</w:t>
      </w:r>
      <w:r w:rsidRPr="00352E40">
        <w:rPr>
          <w:rFonts w:eastAsia="Times New Roman" w:cs="Times New Roman"/>
          <w:b/>
          <w:bCs/>
          <w:color w:val="0F4761" w:themeColor="accent1" w:themeShade="BF"/>
          <w:sz w:val="32"/>
          <w:szCs w:val="32"/>
          <w:lang w:val="de-AT" w:eastAsia="de-AT"/>
        </w:rPr>
        <w:t xml:space="preserve"> Amortisationsrechnung und Vergleich: Insellösung</w:t>
      </w:r>
      <w:r w:rsidRPr="00352E40">
        <w:rPr>
          <w:rFonts w:eastAsia="Times New Roman" w:cs="Times New Roman"/>
          <w:b/>
          <w:bCs/>
          <w:sz w:val="32"/>
          <w:szCs w:val="32"/>
          <w:lang w:val="de-AT" w:eastAsia="de-AT"/>
        </w:rPr>
        <w:t xml:space="preserve"> </w:t>
      </w:r>
      <w:r w:rsidRPr="00352E40">
        <w:rPr>
          <w:rFonts w:eastAsia="Times New Roman" w:cs="Times New Roman"/>
          <w:b/>
          <w:bCs/>
          <w:color w:val="0F4761" w:themeColor="accent1" w:themeShade="BF"/>
          <w:sz w:val="32"/>
          <w:szCs w:val="32"/>
          <w:lang w:val="de-AT" w:eastAsia="de-AT"/>
        </w:rPr>
        <w:t>versus Netzanbindung</w:t>
      </w:r>
    </w:p>
    <w:p w14:paraId="638E9FEE"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Die Amortisationsrechnung betrachtet, wann die Gesamtkosten durch Einsparungen gedeckt werden. Für das 10 m² Gewächshaus mit 2,1 kWp und einem </w:t>
      </w:r>
      <w:proofErr w:type="spellStart"/>
      <w:r w:rsidRPr="00352E40">
        <w:rPr>
          <w:rFonts w:eastAsia="Times New Roman" w:cs="Times New Roman"/>
          <w:sz w:val="22"/>
          <w:szCs w:val="22"/>
          <w:lang w:val="de-AT" w:eastAsia="de-AT"/>
        </w:rPr>
        <w:t>LiFePO</w:t>
      </w:r>
      <w:proofErr w:type="spellEnd"/>
      <w:r w:rsidRPr="00352E40">
        <w:rPr>
          <w:rFonts w:eastAsia="Times New Roman" w:cs="Times New Roman"/>
          <w:sz w:val="22"/>
          <w:szCs w:val="22"/>
          <w:lang w:val="de-AT" w:eastAsia="de-AT"/>
        </w:rPr>
        <w:t>₄-Akkusystem ergeben sich folgende Eckwerte:</w:t>
      </w:r>
    </w:p>
    <w:p w14:paraId="719A6040" w14:textId="714CAC89" w:rsidR="00352E40" w:rsidRPr="00352E40" w:rsidRDefault="00352E40" w:rsidP="00352E40">
      <w:pPr>
        <w:numPr>
          <w:ilvl w:val="0"/>
          <w:numId w:val="26"/>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Investitionskosten Energie-Management-Modul: ca. 3.250</w:t>
      </w:r>
      <w:r w:rsidR="00722F87" w:rsidRPr="00467F8F">
        <w:rPr>
          <w:rFonts w:eastAsia="Times New Roman" w:cs="Times New Roman"/>
          <w:sz w:val="22"/>
          <w:szCs w:val="22"/>
          <w:lang w:val="de-AT" w:eastAsia="de-AT"/>
        </w:rPr>
        <w:t> </w:t>
      </w:r>
      <w:r w:rsidRPr="00352E40">
        <w:rPr>
          <w:rFonts w:eastAsia="Times New Roman" w:cs="Times New Roman"/>
          <w:sz w:val="22"/>
          <w:szCs w:val="22"/>
          <w:lang w:val="de-AT" w:eastAsia="de-AT"/>
        </w:rPr>
        <w:t>€</w:t>
      </w:r>
    </w:p>
    <w:p w14:paraId="4A6B5B94" w14:textId="7BCAE69B" w:rsidR="00352E40" w:rsidRPr="00352E40" w:rsidRDefault="00352E40" w:rsidP="00352E40">
      <w:pPr>
        <w:numPr>
          <w:ilvl w:val="0"/>
          <w:numId w:val="26"/>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Jährliche Energieerzeugung: ca. 3.835</w:t>
      </w:r>
      <w:r w:rsidR="00722F87" w:rsidRPr="00467F8F">
        <w:rPr>
          <w:rFonts w:eastAsia="Times New Roman" w:cs="Times New Roman"/>
          <w:sz w:val="22"/>
          <w:szCs w:val="22"/>
          <w:lang w:val="de-AT" w:eastAsia="de-AT"/>
        </w:rPr>
        <w:t> </w:t>
      </w:r>
      <w:r w:rsidRPr="00352E40">
        <w:rPr>
          <w:rFonts w:eastAsia="Times New Roman" w:cs="Times New Roman"/>
          <w:sz w:val="22"/>
          <w:szCs w:val="22"/>
          <w:lang w:val="de-AT" w:eastAsia="de-AT"/>
        </w:rPr>
        <w:t>kWh</w:t>
      </w:r>
    </w:p>
    <w:p w14:paraId="13A51F00" w14:textId="54965968" w:rsidR="00352E40" w:rsidRPr="00352E40" w:rsidRDefault="00352E40" w:rsidP="00352E40">
      <w:pPr>
        <w:numPr>
          <w:ilvl w:val="0"/>
          <w:numId w:val="26"/>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Jährliche Energieeinsparung: ca. 1.151</w:t>
      </w:r>
      <w:r w:rsidR="00722F87" w:rsidRPr="00467F8F">
        <w:rPr>
          <w:rFonts w:eastAsia="Times New Roman" w:cs="Times New Roman"/>
          <w:sz w:val="22"/>
          <w:szCs w:val="22"/>
          <w:lang w:val="de-AT" w:eastAsia="de-AT"/>
        </w:rPr>
        <w:t> </w:t>
      </w:r>
      <w:r w:rsidRPr="00352E40">
        <w:rPr>
          <w:rFonts w:eastAsia="Times New Roman" w:cs="Times New Roman"/>
          <w:sz w:val="22"/>
          <w:szCs w:val="22"/>
          <w:lang w:val="de-AT" w:eastAsia="de-AT"/>
        </w:rPr>
        <w:t>€</w:t>
      </w:r>
    </w:p>
    <w:p w14:paraId="40A2FB7F" w14:textId="00575B0C" w:rsidR="00352E40" w:rsidRPr="00352E40" w:rsidRDefault="00352E40" w:rsidP="00352E40">
      <w:pPr>
        <w:numPr>
          <w:ilvl w:val="0"/>
          <w:numId w:val="26"/>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Strompreissteigerung in Österreich: 4–6</w:t>
      </w:r>
      <w:r w:rsidR="00722F87" w:rsidRPr="00467F8F">
        <w:rPr>
          <w:rFonts w:eastAsia="Times New Roman" w:cs="Times New Roman"/>
          <w:sz w:val="22"/>
          <w:szCs w:val="22"/>
          <w:lang w:val="de-AT" w:eastAsia="de-AT"/>
        </w:rPr>
        <w:t> </w:t>
      </w:r>
      <w:r w:rsidRPr="00352E40">
        <w:rPr>
          <w:rFonts w:eastAsia="Times New Roman" w:cs="Times New Roman"/>
          <w:sz w:val="22"/>
          <w:szCs w:val="22"/>
          <w:lang w:val="de-AT" w:eastAsia="de-AT"/>
        </w:rPr>
        <w:t>% pro Jahr</w:t>
      </w:r>
    </w:p>
    <w:p w14:paraId="47970F54"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Die einfache Amortisationszeit ohne Strompreissteigerung:</w:t>
      </w:r>
    </w:p>
    <w:p w14:paraId="0933DB57"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Amortisationszeit = Investition / jährliche Einsparung = 3.250 € / 1.151 € ≈ 2,82 Jahre</w:t>
      </w:r>
    </w:p>
    <w:p w14:paraId="3C97EA5C" w14:textId="7F02C2F4" w:rsidR="00722F87"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Berücksichtigt man die Strompreissteigerung von 4 % jährlich, reduziert sich die effektive Amortisationszeit, da die jährlichen Einsparungen kontinuierlich steigen. Mit den kumulierten Einsparungen aus der 10-Jahres-Berechnung (12.800–12.900 €) wird die Investition bereits nach etwa 2,8 Jahren vollständig amortisiert. Bei konservativer Betrachtung liegt die effektive Amortisationszeit damit bei rund 2,8 Jahren.</w:t>
      </w:r>
    </w:p>
    <w:p w14:paraId="2EE2FC06" w14:textId="77777777" w:rsidR="00352E40" w:rsidRPr="00352E40" w:rsidRDefault="00352E40" w:rsidP="00352E40">
      <w:pPr>
        <w:spacing w:before="100" w:beforeAutospacing="1" w:after="100" w:afterAutospacing="1"/>
        <w:jc w:val="both"/>
        <w:outlineLvl w:val="2"/>
        <w:rPr>
          <w:rFonts w:eastAsia="Times New Roman" w:cs="Times New Roman"/>
          <w:b/>
          <w:bCs/>
          <w:color w:val="0F4761" w:themeColor="accent1" w:themeShade="BF"/>
          <w:lang w:val="de-AT" w:eastAsia="de-AT"/>
        </w:rPr>
      </w:pPr>
      <w:r w:rsidRPr="00352E40">
        <w:rPr>
          <w:rFonts w:eastAsia="Times New Roman" w:cs="Times New Roman"/>
          <w:b/>
          <w:bCs/>
          <w:color w:val="0F4761" w:themeColor="accent1" w:themeShade="BF"/>
          <w:lang w:val="de-AT" w:eastAsia="de-AT"/>
        </w:rPr>
        <w:t>Vorteile der Insellösung (Autarke Versorgung)</w:t>
      </w:r>
    </w:p>
    <w:p w14:paraId="3D615245" w14:textId="77777777" w:rsidR="00722F87" w:rsidRPr="00467F8F" w:rsidRDefault="00352E40" w:rsidP="00722F87">
      <w:pPr>
        <w:numPr>
          <w:ilvl w:val="0"/>
          <w:numId w:val="27"/>
        </w:numPr>
        <w:spacing w:before="100" w:beforeAutospacing="1" w:after="100" w:afterAutospacing="1"/>
        <w:rPr>
          <w:rFonts w:eastAsia="Times New Roman" w:cs="Times New Roman"/>
          <w:sz w:val="22"/>
          <w:szCs w:val="22"/>
          <w:lang w:val="de-AT" w:eastAsia="de-AT"/>
        </w:rPr>
      </w:pPr>
      <w:r w:rsidRPr="00352E40">
        <w:rPr>
          <w:rFonts w:eastAsia="Times New Roman" w:cs="Times New Roman"/>
          <w:b/>
          <w:bCs/>
          <w:sz w:val="22"/>
          <w:szCs w:val="22"/>
          <w:lang w:val="de-AT" w:eastAsia="de-AT"/>
        </w:rPr>
        <w:t>Schnelle Amortisation:</w:t>
      </w:r>
    </w:p>
    <w:p w14:paraId="54EB3EAE" w14:textId="51FBA121" w:rsidR="00352E40" w:rsidRPr="00352E40" w:rsidRDefault="00352E40" w:rsidP="00722F87">
      <w:pPr>
        <w:numPr>
          <w:ilvl w:val="1"/>
          <w:numId w:val="27"/>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Mit einer Amortisationszeit von ca. 2,8 Jahren ist die Investition deutlich schneller rentabel als bei einer Netzanbindung.</w:t>
      </w:r>
    </w:p>
    <w:p w14:paraId="18099997" w14:textId="77777777" w:rsidR="00722F87" w:rsidRPr="00467F8F" w:rsidRDefault="00352E40" w:rsidP="00722F87">
      <w:pPr>
        <w:numPr>
          <w:ilvl w:val="0"/>
          <w:numId w:val="27"/>
        </w:numPr>
        <w:spacing w:before="100" w:beforeAutospacing="1" w:after="100" w:afterAutospacing="1"/>
        <w:rPr>
          <w:rFonts w:eastAsia="Times New Roman" w:cs="Times New Roman"/>
          <w:sz w:val="22"/>
          <w:szCs w:val="22"/>
          <w:lang w:val="de-AT" w:eastAsia="de-AT"/>
        </w:rPr>
      </w:pPr>
      <w:r w:rsidRPr="00352E40">
        <w:rPr>
          <w:rFonts w:eastAsia="Times New Roman" w:cs="Times New Roman"/>
          <w:b/>
          <w:bCs/>
          <w:sz w:val="22"/>
          <w:szCs w:val="22"/>
          <w:lang w:val="de-AT" w:eastAsia="de-AT"/>
        </w:rPr>
        <w:t>Vollständige Unabhängigkeit:</w:t>
      </w:r>
    </w:p>
    <w:p w14:paraId="5FD08482" w14:textId="7B0F6103" w:rsidR="00352E40" w:rsidRPr="00352E40" w:rsidRDefault="00352E40" w:rsidP="00722F87">
      <w:pPr>
        <w:numPr>
          <w:ilvl w:val="1"/>
          <w:numId w:val="27"/>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Das System arbeitet unabhängig vom öffentlichen Stromnetz und ist vor Stromausfällen und Netzunterbrechungen geschützt.</w:t>
      </w:r>
    </w:p>
    <w:p w14:paraId="4A9657A0" w14:textId="77777777" w:rsidR="00722F87" w:rsidRPr="00467F8F" w:rsidRDefault="00352E40" w:rsidP="00722F87">
      <w:pPr>
        <w:numPr>
          <w:ilvl w:val="0"/>
          <w:numId w:val="27"/>
        </w:numPr>
        <w:spacing w:before="100" w:beforeAutospacing="1" w:after="100" w:afterAutospacing="1"/>
        <w:rPr>
          <w:rFonts w:eastAsia="Times New Roman" w:cs="Times New Roman"/>
          <w:sz w:val="22"/>
          <w:szCs w:val="22"/>
          <w:lang w:val="de-AT" w:eastAsia="de-AT"/>
        </w:rPr>
      </w:pPr>
      <w:r w:rsidRPr="00352E40">
        <w:rPr>
          <w:rFonts w:eastAsia="Times New Roman" w:cs="Times New Roman"/>
          <w:b/>
          <w:bCs/>
          <w:sz w:val="22"/>
          <w:szCs w:val="22"/>
          <w:lang w:val="de-AT" w:eastAsia="de-AT"/>
        </w:rPr>
        <w:t>Planbare Kosten:</w:t>
      </w:r>
    </w:p>
    <w:p w14:paraId="5D784D43" w14:textId="563501E3" w:rsidR="00352E40" w:rsidRPr="00352E40" w:rsidRDefault="00352E40" w:rsidP="00722F87">
      <w:pPr>
        <w:numPr>
          <w:ilvl w:val="1"/>
          <w:numId w:val="27"/>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Nach der Amortisation entstehen nur minimale Betriebskosten (ca. 10–20 €/Jahr), wodurch die Energiekosten über Jahrzehnte kalkulierbar bleiben.</w:t>
      </w:r>
    </w:p>
    <w:p w14:paraId="1169C0C6" w14:textId="77777777" w:rsidR="00722F87" w:rsidRPr="00467F8F" w:rsidRDefault="00352E40" w:rsidP="00722F87">
      <w:pPr>
        <w:numPr>
          <w:ilvl w:val="0"/>
          <w:numId w:val="27"/>
        </w:numPr>
        <w:spacing w:before="100" w:beforeAutospacing="1" w:after="100" w:afterAutospacing="1"/>
        <w:rPr>
          <w:rFonts w:eastAsia="Times New Roman" w:cs="Times New Roman"/>
          <w:sz w:val="22"/>
          <w:szCs w:val="22"/>
          <w:lang w:val="de-AT" w:eastAsia="de-AT"/>
        </w:rPr>
      </w:pPr>
      <w:r w:rsidRPr="00352E40">
        <w:rPr>
          <w:rFonts w:eastAsia="Times New Roman" w:cs="Times New Roman"/>
          <w:b/>
          <w:bCs/>
          <w:sz w:val="22"/>
          <w:szCs w:val="22"/>
          <w:lang w:val="de-AT" w:eastAsia="de-AT"/>
        </w:rPr>
        <w:t>Krisensicherheit:</w:t>
      </w:r>
    </w:p>
    <w:p w14:paraId="6B38DB9A" w14:textId="68BC0DC9" w:rsidR="00352E40" w:rsidRPr="00352E40" w:rsidRDefault="00352E40" w:rsidP="00722F87">
      <w:pPr>
        <w:numPr>
          <w:ilvl w:val="1"/>
          <w:numId w:val="27"/>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In Zeiten von Energiepreisvolatilität und möglichen Versorgungsengpässen bietet eine autarke Lösung maximale Versorgungssicherheit – besonders für Gewächshäuser, deren Produktion von konstanter Energieverfügbarkeit abhängt.</w:t>
      </w:r>
    </w:p>
    <w:p w14:paraId="38D7ED40" w14:textId="77777777" w:rsidR="00722F87" w:rsidRPr="00467F8F" w:rsidRDefault="00352E40" w:rsidP="00722F87">
      <w:pPr>
        <w:numPr>
          <w:ilvl w:val="0"/>
          <w:numId w:val="27"/>
        </w:numPr>
        <w:spacing w:before="100" w:beforeAutospacing="1" w:after="100" w:afterAutospacing="1"/>
        <w:rPr>
          <w:rFonts w:eastAsia="Times New Roman" w:cs="Times New Roman"/>
          <w:sz w:val="22"/>
          <w:szCs w:val="22"/>
          <w:lang w:val="de-AT" w:eastAsia="de-AT"/>
        </w:rPr>
      </w:pPr>
      <w:r w:rsidRPr="00352E40">
        <w:rPr>
          <w:rFonts w:eastAsia="Times New Roman" w:cs="Times New Roman"/>
          <w:b/>
          <w:bCs/>
          <w:sz w:val="22"/>
          <w:szCs w:val="22"/>
          <w:lang w:val="de-AT" w:eastAsia="de-AT"/>
        </w:rPr>
        <w:t>Skalierbarkeit:</w:t>
      </w:r>
    </w:p>
    <w:p w14:paraId="7F4DA218" w14:textId="4200EEDA" w:rsidR="00352E40" w:rsidRPr="00352E40" w:rsidRDefault="00352E40" w:rsidP="00722F87">
      <w:pPr>
        <w:numPr>
          <w:ilvl w:val="1"/>
          <w:numId w:val="27"/>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Das System kann modular erweitert werden, ohne dass eine Abstimmung mit dem Netzbetreiber erforderlich ist.</w:t>
      </w:r>
    </w:p>
    <w:p w14:paraId="24158578" w14:textId="77777777" w:rsidR="00722F87" w:rsidRPr="00467F8F" w:rsidRDefault="00352E40" w:rsidP="00722F87">
      <w:pPr>
        <w:numPr>
          <w:ilvl w:val="0"/>
          <w:numId w:val="27"/>
        </w:numPr>
        <w:spacing w:before="100" w:beforeAutospacing="1" w:after="100" w:afterAutospacing="1"/>
        <w:rPr>
          <w:rFonts w:eastAsia="Times New Roman" w:cs="Times New Roman"/>
          <w:sz w:val="22"/>
          <w:szCs w:val="22"/>
          <w:lang w:val="de-AT" w:eastAsia="de-AT"/>
        </w:rPr>
      </w:pPr>
      <w:r w:rsidRPr="00352E40">
        <w:rPr>
          <w:rFonts w:eastAsia="Times New Roman" w:cs="Times New Roman"/>
          <w:b/>
          <w:bCs/>
          <w:sz w:val="22"/>
          <w:szCs w:val="22"/>
          <w:lang w:val="de-AT" w:eastAsia="de-AT"/>
        </w:rPr>
        <w:t>Befreiung von Netzgebühren:</w:t>
      </w:r>
    </w:p>
    <w:p w14:paraId="60507C5C" w14:textId="21D9300F" w:rsidR="00352E40" w:rsidRPr="00352E40" w:rsidRDefault="00352E40" w:rsidP="00722F87">
      <w:pPr>
        <w:numPr>
          <w:ilvl w:val="1"/>
          <w:numId w:val="27"/>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Im Inselbetrieb entfallen die üblichen Netzgebühren und Netzverluste.</w:t>
      </w:r>
    </w:p>
    <w:p w14:paraId="7A960243" w14:textId="77777777" w:rsidR="00352E40" w:rsidRPr="00352E40" w:rsidRDefault="00352E40" w:rsidP="00352E40">
      <w:pPr>
        <w:spacing w:before="100" w:beforeAutospacing="1" w:after="100" w:afterAutospacing="1"/>
        <w:jc w:val="both"/>
        <w:outlineLvl w:val="2"/>
        <w:rPr>
          <w:rFonts w:eastAsia="Times New Roman" w:cs="Times New Roman"/>
          <w:b/>
          <w:bCs/>
          <w:color w:val="0F4761" w:themeColor="accent1" w:themeShade="BF"/>
          <w:lang w:val="de-AT" w:eastAsia="de-AT"/>
        </w:rPr>
      </w:pPr>
      <w:r w:rsidRPr="00352E40">
        <w:rPr>
          <w:rFonts w:eastAsia="Times New Roman" w:cs="Times New Roman"/>
          <w:b/>
          <w:bCs/>
          <w:color w:val="0F4761" w:themeColor="accent1" w:themeShade="BF"/>
          <w:lang w:val="de-AT" w:eastAsia="de-AT"/>
        </w:rPr>
        <w:t>Nachteile der Insellösung</w:t>
      </w:r>
    </w:p>
    <w:p w14:paraId="483F6AC0" w14:textId="77777777" w:rsidR="00722F87" w:rsidRPr="00467F8F" w:rsidRDefault="00352E40" w:rsidP="00722F87">
      <w:pPr>
        <w:numPr>
          <w:ilvl w:val="0"/>
          <w:numId w:val="28"/>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b/>
          <w:bCs/>
          <w:sz w:val="22"/>
          <w:szCs w:val="22"/>
          <w:lang w:val="de-AT" w:eastAsia="de-AT"/>
        </w:rPr>
        <w:t>Speicherabhängigkeit:</w:t>
      </w:r>
    </w:p>
    <w:p w14:paraId="67E1BDA6" w14:textId="71E70F35" w:rsidR="00352E40" w:rsidRPr="00352E40" w:rsidRDefault="00352E40" w:rsidP="00722F87">
      <w:pPr>
        <w:numPr>
          <w:ilvl w:val="1"/>
          <w:numId w:val="28"/>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Die Stromerzeugung ist an die Speicherkapazität gebunden; bei hohem Stromverbrauch müssen Batterie-Kapazitäten entsprechend dimensioniert sein.</w:t>
      </w:r>
    </w:p>
    <w:p w14:paraId="11A554D0" w14:textId="77777777" w:rsidR="00722F87" w:rsidRPr="00467F8F" w:rsidRDefault="00352E40" w:rsidP="00722F87">
      <w:pPr>
        <w:numPr>
          <w:ilvl w:val="0"/>
          <w:numId w:val="28"/>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b/>
          <w:bCs/>
          <w:sz w:val="22"/>
          <w:szCs w:val="22"/>
          <w:lang w:val="de-AT" w:eastAsia="de-AT"/>
        </w:rPr>
        <w:lastRenderedPageBreak/>
        <w:t>Begrenzte Stromverfügbarkeit:</w:t>
      </w:r>
    </w:p>
    <w:p w14:paraId="5A356624" w14:textId="482D6C6C" w:rsidR="00352E40" w:rsidRPr="00352E40" w:rsidRDefault="00352E40" w:rsidP="00722F87">
      <w:pPr>
        <w:numPr>
          <w:ilvl w:val="1"/>
          <w:numId w:val="28"/>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In Zeiten mit schlechten Lichtverhältnissen (Winter, schlechtes Wetter, Nacht) kann die Speicherkapazität erschöpft sein, was eine entsprechende Auslegung erfordert.</w:t>
      </w:r>
    </w:p>
    <w:p w14:paraId="53A1378D" w14:textId="77777777" w:rsidR="00722F87" w:rsidRPr="00467F8F" w:rsidRDefault="00352E40" w:rsidP="00722F87">
      <w:pPr>
        <w:numPr>
          <w:ilvl w:val="0"/>
          <w:numId w:val="28"/>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b/>
          <w:bCs/>
          <w:sz w:val="22"/>
          <w:szCs w:val="22"/>
          <w:lang w:val="de-AT" w:eastAsia="de-AT"/>
        </w:rPr>
        <w:t>Initialinvestition:</w:t>
      </w:r>
    </w:p>
    <w:p w14:paraId="4D9C4EF1" w14:textId="1286ACD6" w:rsidR="00352E40" w:rsidRPr="00352E40" w:rsidRDefault="00352E40" w:rsidP="00722F87">
      <w:pPr>
        <w:numPr>
          <w:ilvl w:val="1"/>
          <w:numId w:val="28"/>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Obwohl die </w:t>
      </w:r>
      <w:proofErr w:type="gramStart"/>
      <w:r w:rsidRPr="00352E40">
        <w:rPr>
          <w:rFonts w:eastAsia="Times New Roman" w:cs="Times New Roman"/>
          <w:sz w:val="22"/>
          <w:szCs w:val="22"/>
          <w:lang w:val="de-AT" w:eastAsia="de-AT"/>
        </w:rPr>
        <w:t>Amortisation relativ</w:t>
      </w:r>
      <w:proofErr w:type="gramEnd"/>
      <w:r w:rsidRPr="00352E40">
        <w:rPr>
          <w:rFonts w:eastAsia="Times New Roman" w:cs="Times New Roman"/>
          <w:sz w:val="22"/>
          <w:szCs w:val="22"/>
          <w:lang w:val="de-AT" w:eastAsia="de-AT"/>
        </w:rPr>
        <w:t xml:space="preserve"> kurz ist, erfordert die Insellösung eine höhere Initialinvestition als ein reiner Netzanschluss.</w:t>
      </w:r>
    </w:p>
    <w:p w14:paraId="2AFAD78A" w14:textId="77777777" w:rsidR="00722F87" w:rsidRPr="00467F8F" w:rsidRDefault="00352E40" w:rsidP="00722F87">
      <w:pPr>
        <w:numPr>
          <w:ilvl w:val="0"/>
          <w:numId w:val="28"/>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b/>
          <w:bCs/>
          <w:sz w:val="22"/>
          <w:szCs w:val="22"/>
          <w:lang w:val="de-AT" w:eastAsia="de-AT"/>
        </w:rPr>
        <w:t>Wartung und Monitoring:</w:t>
      </w:r>
    </w:p>
    <w:p w14:paraId="3A678BCA" w14:textId="20267928" w:rsidR="00722F87" w:rsidRPr="00352E40" w:rsidRDefault="00352E40" w:rsidP="00722F87">
      <w:pPr>
        <w:numPr>
          <w:ilvl w:val="1"/>
          <w:numId w:val="28"/>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Regelmäßige Überwachung des Batteriezustands und des Ladestands ist erforderlich, um Systemausfälle zu vermeiden.</w:t>
      </w:r>
    </w:p>
    <w:p w14:paraId="46189B6F" w14:textId="77777777" w:rsidR="00352E40" w:rsidRPr="00352E40" w:rsidRDefault="00352E40" w:rsidP="00352E40">
      <w:pPr>
        <w:spacing w:before="100" w:beforeAutospacing="1" w:after="100" w:afterAutospacing="1"/>
        <w:jc w:val="both"/>
        <w:outlineLvl w:val="2"/>
        <w:rPr>
          <w:rFonts w:eastAsia="Times New Roman" w:cs="Times New Roman"/>
          <w:b/>
          <w:bCs/>
          <w:color w:val="0F4761" w:themeColor="accent1" w:themeShade="BF"/>
          <w:lang w:val="de-AT" w:eastAsia="de-AT"/>
        </w:rPr>
      </w:pPr>
      <w:r w:rsidRPr="00352E40">
        <w:rPr>
          <w:rFonts w:eastAsia="Times New Roman" w:cs="Times New Roman"/>
          <w:b/>
          <w:bCs/>
          <w:color w:val="0F4761" w:themeColor="accent1" w:themeShade="BF"/>
          <w:lang w:val="de-AT" w:eastAsia="de-AT"/>
        </w:rPr>
        <w:t>Vergleich mit Netzanbindung</w:t>
      </w:r>
    </w:p>
    <w:p w14:paraId="390FC9AB"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Bei einer Netzanbindung (Einspeisung ins öffentliche Netz oder Net-Metering) gelten folgende Unterschiede:</w:t>
      </w:r>
    </w:p>
    <w:p w14:paraId="2DFC5177" w14:textId="77777777" w:rsidR="00467F8F" w:rsidRPr="00467F8F" w:rsidRDefault="00352E40" w:rsidP="00352E40">
      <w:pPr>
        <w:numPr>
          <w:ilvl w:val="0"/>
          <w:numId w:val="29"/>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b/>
          <w:bCs/>
          <w:sz w:val="22"/>
          <w:szCs w:val="22"/>
          <w:lang w:val="de-AT" w:eastAsia="de-AT"/>
        </w:rPr>
        <w:t>Netzanbindung mit Einspeisung:</w:t>
      </w:r>
    </w:p>
    <w:p w14:paraId="2DB869FB" w14:textId="54933245" w:rsidR="00352E40" w:rsidRPr="00352E40" w:rsidRDefault="00352E40" w:rsidP="00467F8F">
      <w:pPr>
        <w:numPr>
          <w:ilvl w:val="1"/>
          <w:numId w:val="29"/>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Die erzeugten kWh werden ins Netz eingespeist und der Betreiber erhält eine Einspeisevergütung. Diese liegt in Österreich derzeit bei 6–12 ct/kWh (je nach Bundesland und Anlage-Alter), deutlich unter dem Haushaltsstrompreis von 0,30 €/kWh. Dies führt zu einer deutlich geringeren Wirtschaftlichkeit.</w:t>
      </w:r>
    </w:p>
    <w:p w14:paraId="10C8C896" w14:textId="77777777" w:rsidR="00467F8F" w:rsidRPr="00467F8F" w:rsidRDefault="00352E40" w:rsidP="00352E40">
      <w:pPr>
        <w:numPr>
          <w:ilvl w:val="0"/>
          <w:numId w:val="29"/>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b/>
          <w:bCs/>
          <w:sz w:val="22"/>
          <w:szCs w:val="22"/>
          <w:lang w:val="de-AT" w:eastAsia="de-AT"/>
        </w:rPr>
        <w:t>Net-Metering (wo verfügbar):</w:t>
      </w:r>
    </w:p>
    <w:p w14:paraId="16C69941" w14:textId="548516CE" w:rsidR="00352E40" w:rsidRPr="00352E40" w:rsidRDefault="00352E40" w:rsidP="00467F8F">
      <w:pPr>
        <w:numPr>
          <w:ilvl w:val="1"/>
          <w:numId w:val="29"/>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Erzeugter Strom wird verrechnet mit Bezugsstrom; die Effizienz ist höher als reine Einspeisung, aber die Wirtschaftlichkeit abhängig von der Betriebsweise und den lokalen Netzanschlussverträgen.</w:t>
      </w:r>
    </w:p>
    <w:p w14:paraId="39A5D571" w14:textId="77777777" w:rsidR="00467F8F" w:rsidRPr="00467F8F" w:rsidRDefault="00352E40" w:rsidP="00352E40">
      <w:pPr>
        <w:numPr>
          <w:ilvl w:val="0"/>
          <w:numId w:val="29"/>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b/>
          <w:bCs/>
          <w:sz w:val="22"/>
          <w:szCs w:val="22"/>
          <w:lang w:val="de-AT" w:eastAsia="de-AT"/>
        </w:rPr>
        <w:t>Insellösung mit Autarkiegebühr:</w:t>
      </w:r>
    </w:p>
    <w:p w14:paraId="5BF208A3" w14:textId="52198F93" w:rsidR="00352E40" w:rsidRPr="00352E40" w:rsidRDefault="00352E40" w:rsidP="00467F8F">
      <w:pPr>
        <w:numPr>
          <w:ilvl w:val="1"/>
          <w:numId w:val="29"/>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Der Betreiber zahlt in manchen Bundesländern (z.B. Wien, Niederösterreich) eine Autarkiegebühr, wenn Strom selbst genutzt wird und nicht ins Netz eingespeist wird. Diese Gebühren sind jedoch deutlich niedriger als die Einsparungen durch Eigenverbrauch.</w:t>
      </w:r>
    </w:p>
    <w:p w14:paraId="6F422DA1"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Für das vorliegende Gewächshaus-Szenario ist die Insellösung wirtschaftlich deutlich</w:t>
      </w:r>
      <w:r w:rsidRPr="00352E40">
        <w:rPr>
          <w:rFonts w:eastAsia="Times New Roman" w:cs="Times New Roman"/>
          <w:b/>
          <w:bCs/>
          <w:sz w:val="22"/>
          <w:szCs w:val="22"/>
          <w:lang w:val="de-AT" w:eastAsia="de-AT"/>
        </w:rPr>
        <w:t xml:space="preserve"> </w:t>
      </w:r>
      <w:r w:rsidRPr="00352E40">
        <w:rPr>
          <w:rFonts w:eastAsia="Times New Roman" w:cs="Times New Roman"/>
          <w:sz w:val="22"/>
          <w:szCs w:val="22"/>
          <w:lang w:val="de-AT" w:eastAsia="de-AT"/>
        </w:rPr>
        <w:t>vorteilhafter, da der selbst erzeugte Strom zum Vollpreis (0,30 €/kWh) bewertet wird und nicht mit dem niedrigeren Einspeisesatz vergütet wird. Eine Netzanbindung mit Einspeisung würde die jährliche Einsparung auf ca. 230–340 € reduzieren (bei 6–12 ct/kWh Einspeisevergütung), was die Amortisationszeit auf 9–14 Jahre verlängern würde.</w:t>
      </w:r>
    </w:p>
    <w:p w14:paraId="1B3F4CEC" w14:textId="77777777" w:rsidR="00172671" w:rsidRDefault="00172671" w:rsidP="00352E40">
      <w:pPr>
        <w:spacing w:before="100" w:beforeAutospacing="1" w:after="100" w:afterAutospacing="1"/>
        <w:jc w:val="both"/>
        <w:outlineLvl w:val="1"/>
        <w:rPr>
          <w:rFonts w:eastAsia="Times New Roman" w:cs="Times New Roman"/>
          <w:sz w:val="22"/>
          <w:szCs w:val="22"/>
          <w:lang w:val="de-AT" w:eastAsia="de-AT"/>
        </w:rPr>
      </w:pPr>
    </w:p>
    <w:p w14:paraId="256925F3" w14:textId="5003616A" w:rsidR="00352E40" w:rsidRPr="00352E40" w:rsidRDefault="00352E40" w:rsidP="00352E40">
      <w:pPr>
        <w:spacing w:before="100" w:beforeAutospacing="1" w:after="100" w:afterAutospacing="1"/>
        <w:jc w:val="both"/>
        <w:outlineLvl w:val="1"/>
        <w:rPr>
          <w:rFonts w:eastAsia="Times New Roman" w:cs="Times New Roman"/>
          <w:b/>
          <w:bCs/>
          <w:color w:val="0F4761" w:themeColor="accent1" w:themeShade="BF"/>
          <w:sz w:val="32"/>
          <w:szCs w:val="32"/>
          <w:lang w:val="de-AT" w:eastAsia="de-AT"/>
        </w:rPr>
      </w:pPr>
      <w:r w:rsidRPr="00352E40">
        <w:rPr>
          <w:rFonts w:eastAsia="Times New Roman" w:cs="Times New Roman"/>
          <w:b/>
          <w:bCs/>
          <w:color w:val="0F4761" w:themeColor="accent1" w:themeShade="BF"/>
          <w:sz w:val="32"/>
          <w:szCs w:val="32"/>
          <w:lang w:val="de-AT" w:eastAsia="de-AT"/>
        </w:rPr>
        <w:t>4.7.</w:t>
      </w:r>
      <w:r w:rsidR="00796693">
        <w:rPr>
          <w:rFonts w:eastAsia="Times New Roman" w:cs="Times New Roman"/>
          <w:b/>
          <w:bCs/>
          <w:color w:val="0F4761" w:themeColor="accent1" w:themeShade="BF"/>
          <w:sz w:val="32"/>
          <w:szCs w:val="32"/>
          <w:lang w:val="de-AT" w:eastAsia="de-AT"/>
        </w:rPr>
        <w:t>3</w:t>
      </w:r>
      <w:r w:rsidRPr="00352E40">
        <w:rPr>
          <w:rFonts w:eastAsia="Times New Roman" w:cs="Times New Roman"/>
          <w:b/>
          <w:bCs/>
          <w:color w:val="0F4761" w:themeColor="accent1" w:themeShade="BF"/>
          <w:sz w:val="32"/>
          <w:szCs w:val="32"/>
          <w:lang w:val="de-AT" w:eastAsia="de-AT"/>
        </w:rPr>
        <w:t xml:space="preserve"> Betriebskosten und Wirtschaftlichkeitsbewertung</w:t>
      </w:r>
    </w:p>
    <w:p w14:paraId="4DE1950C" w14:textId="77777777"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Die laufenden Betriebskosten des PV-Inselsystems sind gering, da das System weitgehend wartungsfrei arbeitet:</w:t>
      </w:r>
    </w:p>
    <w:p w14:paraId="621FC8EC" w14:textId="77777777" w:rsidR="00352E40" w:rsidRPr="00352E40" w:rsidRDefault="00352E40" w:rsidP="00352E40">
      <w:pPr>
        <w:numPr>
          <w:ilvl w:val="0"/>
          <w:numId w:val="31"/>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Reinigung der Module </w:t>
      </w:r>
      <w:proofErr w:type="gramStart"/>
      <w:r w:rsidRPr="00352E40">
        <w:rPr>
          <w:rFonts w:eastAsia="Times New Roman" w:cs="Times New Roman"/>
          <w:sz w:val="22"/>
          <w:szCs w:val="22"/>
          <w:lang w:val="de-AT" w:eastAsia="de-AT"/>
        </w:rPr>
        <w:t>1–2 Mal</w:t>
      </w:r>
      <w:proofErr w:type="gramEnd"/>
      <w:r w:rsidRPr="00352E40">
        <w:rPr>
          <w:rFonts w:eastAsia="Times New Roman" w:cs="Times New Roman"/>
          <w:sz w:val="22"/>
          <w:szCs w:val="22"/>
          <w:lang w:val="de-AT" w:eastAsia="de-AT"/>
        </w:rPr>
        <w:t xml:space="preserve"> pro Jahr</w:t>
      </w:r>
    </w:p>
    <w:p w14:paraId="786BDE39" w14:textId="77777777" w:rsidR="00352E40" w:rsidRPr="00352E40" w:rsidRDefault="00352E40" w:rsidP="00352E40">
      <w:pPr>
        <w:numPr>
          <w:ilvl w:val="0"/>
          <w:numId w:val="31"/>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Sichtprüfung von Verkabelung und Sicherungen</w:t>
      </w:r>
    </w:p>
    <w:p w14:paraId="5D391E67" w14:textId="77777777" w:rsidR="00352E40" w:rsidRPr="00352E40" w:rsidRDefault="00352E40" w:rsidP="00352E40">
      <w:pPr>
        <w:numPr>
          <w:ilvl w:val="0"/>
          <w:numId w:val="31"/>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Überprüfung des Batteriezustands und des </w:t>
      </w:r>
      <w:proofErr w:type="spellStart"/>
      <w:r w:rsidRPr="00352E40">
        <w:rPr>
          <w:rFonts w:eastAsia="Times New Roman" w:cs="Times New Roman"/>
          <w:sz w:val="22"/>
          <w:szCs w:val="22"/>
          <w:lang w:val="de-AT" w:eastAsia="de-AT"/>
        </w:rPr>
        <w:t>SmartShunt</w:t>
      </w:r>
      <w:proofErr w:type="spellEnd"/>
      <w:r w:rsidRPr="00352E40">
        <w:rPr>
          <w:rFonts w:eastAsia="Times New Roman" w:cs="Times New Roman"/>
          <w:sz w:val="22"/>
          <w:szCs w:val="22"/>
          <w:lang w:val="de-AT" w:eastAsia="de-AT"/>
        </w:rPr>
        <w:t>-Monitorings</w:t>
      </w:r>
    </w:p>
    <w:p w14:paraId="73502C42" w14:textId="77777777" w:rsidR="00352E40" w:rsidRPr="00352E40" w:rsidRDefault="00352E40" w:rsidP="00352E40">
      <w:pPr>
        <w:numPr>
          <w:ilvl w:val="0"/>
          <w:numId w:val="31"/>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Ersatzteile wie Sicherungen oder kleine elektronische Komponenten nur bei Bedarf</w:t>
      </w:r>
    </w:p>
    <w:p w14:paraId="65BECDD2" w14:textId="77777777" w:rsidR="00352E40" w:rsidRPr="00352E40" w:rsidRDefault="00352E40" w:rsidP="00352E40">
      <w:pPr>
        <w:numPr>
          <w:ilvl w:val="0"/>
          <w:numId w:val="31"/>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Geschätzte jährliche Betriebskosten: 10–20 €</w:t>
      </w:r>
    </w:p>
    <w:p w14:paraId="63EAD637" w14:textId="5611689A"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lastRenderedPageBreak/>
        <w:t xml:space="preserve">Die </w:t>
      </w:r>
      <w:r w:rsidR="00467F8F">
        <w:rPr>
          <w:rFonts w:eastAsia="Times New Roman" w:cs="Times New Roman"/>
          <w:sz w:val="22"/>
          <w:szCs w:val="22"/>
          <w:lang w:val="de-AT" w:eastAsia="de-AT"/>
        </w:rPr>
        <w:t xml:space="preserve">Stromerzeugungskosten </w:t>
      </w:r>
      <w:r w:rsidRPr="00352E40">
        <w:rPr>
          <w:rFonts w:eastAsia="Times New Roman" w:cs="Times New Roman"/>
          <w:sz w:val="22"/>
          <w:szCs w:val="22"/>
          <w:lang w:val="de-AT" w:eastAsia="de-AT"/>
        </w:rPr>
        <w:t>(</w:t>
      </w:r>
      <w:proofErr w:type="spellStart"/>
      <w:r w:rsidRPr="00352E40">
        <w:rPr>
          <w:rFonts w:eastAsia="Times New Roman" w:cs="Times New Roman"/>
          <w:sz w:val="22"/>
          <w:szCs w:val="22"/>
          <w:lang w:val="de-AT" w:eastAsia="de-AT"/>
        </w:rPr>
        <w:t>Levelized</w:t>
      </w:r>
      <w:proofErr w:type="spellEnd"/>
      <w:r w:rsidRPr="00352E40">
        <w:rPr>
          <w:rFonts w:eastAsia="Times New Roman" w:cs="Times New Roman"/>
          <w:sz w:val="22"/>
          <w:szCs w:val="22"/>
          <w:lang w:val="de-AT" w:eastAsia="de-AT"/>
        </w:rPr>
        <w:t xml:space="preserve"> </w:t>
      </w:r>
      <w:proofErr w:type="spellStart"/>
      <w:r w:rsidRPr="00352E40">
        <w:rPr>
          <w:rFonts w:eastAsia="Times New Roman" w:cs="Times New Roman"/>
          <w:sz w:val="22"/>
          <w:szCs w:val="22"/>
          <w:lang w:val="de-AT" w:eastAsia="de-AT"/>
        </w:rPr>
        <w:t>Cost</w:t>
      </w:r>
      <w:proofErr w:type="spellEnd"/>
      <w:r w:rsidRPr="00352E40">
        <w:rPr>
          <w:rFonts w:eastAsia="Times New Roman" w:cs="Times New Roman"/>
          <w:sz w:val="22"/>
          <w:szCs w:val="22"/>
          <w:lang w:val="de-AT" w:eastAsia="de-AT"/>
        </w:rPr>
        <w:t xml:space="preserve"> </w:t>
      </w:r>
      <w:proofErr w:type="spellStart"/>
      <w:r w:rsidRPr="00352E40">
        <w:rPr>
          <w:rFonts w:eastAsia="Times New Roman" w:cs="Times New Roman"/>
          <w:sz w:val="22"/>
          <w:szCs w:val="22"/>
          <w:lang w:val="de-AT" w:eastAsia="de-AT"/>
        </w:rPr>
        <w:t>of</w:t>
      </w:r>
      <w:proofErr w:type="spellEnd"/>
      <w:r w:rsidRPr="00352E40">
        <w:rPr>
          <w:rFonts w:eastAsia="Times New Roman" w:cs="Times New Roman"/>
          <w:sz w:val="22"/>
          <w:szCs w:val="22"/>
          <w:lang w:val="de-AT" w:eastAsia="de-AT"/>
        </w:rPr>
        <w:t xml:space="preserve"> </w:t>
      </w:r>
      <w:proofErr w:type="spellStart"/>
      <w:r w:rsidRPr="00352E40">
        <w:rPr>
          <w:rFonts w:eastAsia="Times New Roman" w:cs="Times New Roman"/>
          <w:sz w:val="22"/>
          <w:szCs w:val="22"/>
          <w:lang w:val="de-AT" w:eastAsia="de-AT"/>
        </w:rPr>
        <w:t>Electricity</w:t>
      </w:r>
      <w:proofErr w:type="spellEnd"/>
      <w:r w:rsidRPr="00352E40">
        <w:rPr>
          <w:rFonts w:eastAsia="Times New Roman" w:cs="Times New Roman"/>
          <w:sz w:val="22"/>
          <w:szCs w:val="22"/>
          <w:lang w:val="de-AT" w:eastAsia="de-AT"/>
        </w:rPr>
        <w:t>, LCOE) betragen ca. 0,16–0,20 €/kWh, deutlich unter den aktuellen österreichischen Netzstrompreisen von ca. 0,30 €/kWh. Dies entspricht einer Kostenersparnis von etwa 33–46 %.</w:t>
      </w:r>
    </w:p>
    <w:p w14:paraId="4328EF85" w14:textId="77777777" w:rsidR="00352E40" w:rsidRPr="00352E40" w:rsidRDefault="00352E40" w:rsidP="00352E40">
      <w:pPr>
        <w:spacing w:before="100" w:beforeAutospacing="1" w:after="100" w:afterAutospacing="1"/>
        <w:jc w:val="both"/>
        <w:rPr>
          <w:rFonts w:eastAsia="Times New Roman" w:cs="Times New Roman"/>
          <w:color w:val="0F4761" w:themeColor="accent1" w:themeShade="BF"/>
          <w:sz w:val="22"/>
          <w:szCs w:val="22"/>
          <w:lang w:val="de-AT" w:eastAsia="de-AT"/>
        </w:rPr>
      </w:pPr>
      <w:r w:rsidRPr="00352E40">
        <w:rPr>
          <w:rFonts w:eastAsia="Times New Roman" w:cs="Times New Roman"/>
          <w:b/>
          <w:bCs/>
          <w:color w:val="0F4761" w:themeColor="accent1" w:themeShade="BF"/>
          <w:sz w:val="22"/>
          <w:szCs w:val="22"/>
          <w:lang w:val="de-AT" w:eastAsia="de-AT"/>
        </w:rPr>
        <w:t>Wirtschaftlichkeitsbewertung des Energie-Management-Moduls:</w:t>
      </w:r>
    </w:p>
    <w:p w14:paraId="14799E9B" w14:textId="77777777" w:rsidR="00352E40" w:rsidRPr="00352E40" w:rsidRDefault="00352E40" w:rsidP="00352E40">
      <w:pPr>
        <w:numPr>
          <w:ilvl w:val="0"/>
          <w:numId w:val="32"/>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Amortisationszeit: ca. 2,8 Jahre</w:t>
      </w:r>
    </w:p>
    <w:p w14:paraId="18C65942" w14:textId="77777777" w:rsidR="00352E40" w:rsidRPr="00352E40" w:rsidRDefault="00352E40" w:rsidP="00352E40">
      <w:pPr>
        <w:numPr>
          <w:ilvl w:val="0"/>
          <w:numId w:val="32"/>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ROI: ca. 35 % ohne Strompreissteigerung, ca. 39–40 % durchschnittlich mit konservativ angenommener Strompreissteigerung von 4 % p.a. über 10 Jahre</w:t>
      </w:r>
    </w:p>
    <w:p w14:paraId="0C5AEE41" w14:textId="77777777" w:rsidR="00352E40" w:rsidRPr="00352E40" w:rsidRDefault="00352E40" w:rsidP="00352E40">
      <w:pPr>
        <w:numPr>
          <w:ilvl w:val="0"/>
          <w:numId w:val="32"/>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Geringe Betriebskosten, lange Lebensdauer (10–12 Jahre), minimale Wartung</w:t>
      </w:r>
    </w:p>
    <w:p w14:paraId="1772ECB6" w14:textId="77777777" w:rsidR="00352E40" w:rsidRPr="00352E40" w:rsidRDefault="00352E40" w:rsidP="00352E40">
      <w:pPr>
        <w:numPr>
          <w:ilvl w:val="0"/>
          <w:numId w:val="32"/>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Qualitative Vorteile: Versorgungssicherheit, Preisschutz, Erweiterbarkeit, Unabhängigkeit von Netzgebühren</w:t>
      </w:r>
    </w:p>
    <w:p w14:paraId="2EEFC554" w14:textId="6469D528" w:rsidR="00352E40" w:rsidRPr="00352E40" w:rsidRDefault="00352E40" w:rsidP="00352E40">
      <w:p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Fazit: Das Energie-Management-Modul bietet eine äußerst attraktive und schnelle</w:t>
      </w:r>
      <w:r w:rsidRPr="00352E40">
        <w:rPr>
          <w:rFonts w:eastAsia="Times New Roman" w:cs="Times New Roman"/>
          <w:b/>
          <w:bCs/>
          <w:sz w:val="22"/>
          <w:szCs w:val="22"/>
          <w:lang w:val="de-AT" w:eastAsia="de-AT"/>
        </w:rPr>
        <w:t xml:space="preserve"> </w:t>
      </w:r>
      <w:r w:rsidRPr="00352E40">
        <w:rPr>
          <w:rFonts w:eastAsia="Times New Roman" w:cs="Times New Roman"/>
          <w:sz w:val="22"/>
          <w:szCs w:val="22"/>
          <w:lang w:val="de-AT" w:eastAsia="de-AT"/>
        </w:rPr>
        <w:t xml:space="preserve">Rentabilität mit einer Amortisationszeit von knapp 2,8 Jahren und eignet sich besonders für autarke Anwendungen in Gewächshäusern oder landwirtschaftlichen Nebenbetrieben. Die kurze Amortisationszeit im Verhältnis zur erwarteten Lebensdauer von 10–12 Jahren gewährleistet eine sichere und profitable Langzeitinvestition. Selbst bei moderaten Strompreissteigerungen von 4 % pro Jahr verbessert sich die Rentabilität kontinuierlich, und die Investition ist bereits nach ca. 3 Jahren vollständig amortisiert. </w:t>
      </w:r>
      <w:r w:rsidR="00467F8F" w:rsidRPr="00467F8F">
        <w:rPr>
          <w:rFonts w:eastAsia="Times New Roman" w:cs="Times New Roman"/>
          <w:sz w:val="22"/>
          <w:szCs w:val="22"/>
          <w:lang w:val="de-AT" w:eastAsia="de-AT"/>
        </w:rPr>
        <w:t>Durch die Integration moderner Speichertechnologie wird das Gewächshaus zu einem energieautarken und zugleich wirtschaftlich nachhaltigen Betriebssystem.</w:t>
      </w:r>
    </w:p>
    <w:p w14:paraId="3F71FEBC" w14:textId="77777777" w:rsidR="00352E40" w:rsidRPr="00352E40" w:rsidRDefault="00352E40" w:rsidP="00352E40">
      <w:pPr>
        <w:spacing w:before="100" w:beforeAutospacing="1" w:after="100" w:afterAutospacing="1"/>
        <w:jc w:val="both"/>
        <w:outlineLvl w:val="1"/>
        <w:rPr>
          <w:rFonts w:eastAsia="Times New Roman" w:cs="Times New Roman"/>
          <w:b/>
          <w:bCs/>
          <w:color w:val="0F4761" w:themeColor="accent1" w:themeShade="BF"/>
          <w:sz w:val="32"/>
          <w:szCs w:val="32"/>
          <w:lang w:val="de-AT" w:eastAsia="de-AT"/>
        </w:rPr>
      </w:pPr>
      <w:r w:rsidRPr="00352E40">
        <w:rPr>
          <w:rFonts w:eastAsia="Times New Roman" w:cs="Times New Roman"/>
          <w:b/>
          <w:bCs/>
          <w:color w:val="0F4761" w:themeColor="accent1" w:themeShade="BF"/>
          <w:sz w:val="32"/>
          <w:szCs w:val="32"/>
          <w:lang w:val="de-AT" w:eastAsia="de-AT"/>
        </w:rPr>
        <w:t>Quellenverzeichnis</w:t>
      </w:r>
    </w:p>
    <w:p w14:paraId="13463643"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Bundesministerium für Klimaschutz, Umwelt, Energie, Mobilität, Innovation und Technologie (BMK): </w:t>
      </w:r>
      <w:r w:rsidRPr="00352E40">
        <w:rPr>
          <w:rFonts w:eastAsia="Times New Roman" w:cs="Times New Roman"/>
          <w:i/>
          <w:iCs/>
          <w:sz w:val="22"/>
          <w:szCs w:val="22"/>
          <w:lang w:val="de-AT" w:eastAsia="de-AT"/>
        </w:rPr>
        <w:t>Photovoltaik-Marktreport Österreich 2024</w:t>
      </w:r>
      <w:r w:rsidRPr="00352E40">
        <w:rPr>
          <w:rFonts w:eastAsia="Times New Roman" w:cs="Times New Roman"/>
          <w:sz w:val="22"/>
          <w:szCs w:val="22"/>
          <w:lang w:val="de-AT" w:eastAsia="de-AT"/>
        </w:rPr>
        <w:t>, Wien, 2024.</w:t>
      </w:r>
    </w:p>
    <w:p w14:paraId="73C4E486"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E-Control: </w:t>
      </w:r>
      <w:r w:rsidRPr="00352E40">
        <w:rPr>
          <w:rFonts w:eastAsia="Times New Roman" w:cs="Times New Roman"/>
          <w:i/>
          <w:iCs/>
          <w:sz w:val="22"/>
          <w:szCs w:val="22"/>
          <w:lang w:val="de-AT" w:eastAsia="de-AT"/>
        </w:rPr>
        <w:t>Strompreisstatistik Österreich 2024 – Haushaltsstrompreise und Netzgebühren in Österreich</w:t>
      </w:r>
      <w:r w:rsidRPr="00352E40">
        <w:rPr>
          <w:rFonts w:eastAsia="Times New Roman" w:cs="Times New Roman"/>
          <w:sz w:val="22"/>
          <w:szCs w:val="22"/>
          <w:lang w:val="de-AT" w:eastAsia="de-AT"/>
        </w:rPr>
        <w:t>, Wien, 2024.</w:t>
      </w:r>
    </w:p>
    <w:p w14:paraId="637FD4B9"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Fraunhofer ISE: </w:t>
      </w:r>
      <w:r w:rsidRPr="00352E40">
        <w:rPr>
          <w:rFonts w:eastAsia="Times New Roman" w:cs="Times New Roman"/>
          <w:i/>
          <w:iCs/>
          <w:sz w:val="22"/>
          <w:szCs w:val="22"/>
          <w:lang w:val="de-AT" w:eastAsia="de-AT"/>
        </w:rPr>
        <w:t>Speichertechnologien im Vergleich – Kostenentwicklung und Leistungsparameter von Batteriespeichersystemen</w:t>
      </w:r>
      <w:r w:rsidRPr="00352E40">
        <w:rPr>
          <w:rFonts w:eastAsia="Times New Roman" w:cs="Times New Roman"/>
          <w:sz w:val="22"/>
          <w:szCs w:val="22"/>
          <w:lang w:val="de-AT" w:eastAsia="de-AT"/>
        </w:rPr>
        <w:t>, 2024.</w:t>
      </w:r>
    </w:p>
    <w:p w14:paraId="3A10BAB6"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en-GB" w:eastAsia="de-AT"/>
        </w:rPr>
      </w:pPr>
      <w:r w:rsidRPr="00352E40">
        <w:rPr>
          <w:rFonts w:eastAsia="Times New Roman" w:cs="Times New Roman"/>
          <w:sz w:val="22"/>
          <w:szCs w:val="22"/>
          <w:lang w:val="en-GB" w:eastAsia="de-AT"/>
        </w:rPr>
        <w:t xml:space="preserve">HBOWA New Energy: </w:t>
      </w:r>
      <w:r w:rsidRPr="00352E40">
        <w:rPr>
          <w:rFonts w:eastAsia="Times New Roman" w:cs="Times New Roman"/>
          <w:i/>
          <w:iCs/>
          <w:sz w:val="22"/>
          <w:szCs w:val="22"/>
          <w:lang w:val="en-GB" w:eastAsia="de-AT"/>
        </w:rPr>
        <w:t>Solar Battery Cost in 2025: What to Expect and How to Budget Smartly</w:t>
      </w:r>
      <w:r w:rsidRPr="00352E40">
        <w:rPr>
          <w:rFonts w:eastAsia="Times New Roman" w:cs="Times New Roman"/>
          <w:sz w:val="22"/>
          <w:szCs w:val="22"/>
          <w:lang w:val="en-GB" w:eastAsia="de-AT"/>
        </w:rPr>
        <w:t>, 2025.</w:t>
      </w:r>
    </w:p>
    <w:p w14:paraId="2ED7BB79"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proofErr w:type="spellStart"/>
      <w:r w:rsidRPr="00352E40">
        <w:rPr>
          <w:rFonts w:eastAsia="Times New Roman" w:cs="Times New Roman"/>
          <w:sz w:val="22"/>
          <w:szCs w:val="22"/>
          <w:lang w:val="en-GB" w:eastAsia="de-AT"/>
        </w:rPr>
        <w:t>Ignitis</w:t>
      </w:r>
      <w:proofErr w:type="spellEnd"/>
      <w:r w:rsidRPr="00352E40">
        <w:rPr>
          <w:rFonts w:eastAsia="Times New Roman" w:cs="Times New Roman"/>
          <w:sz w:val="22"/>
          <w:szCs w:val="22"/>
          <w:lang w:val="en-GB" w:eastAsia="de-AT"/>
        </w:rPr>
        <w:t xml:space="preserve"> Innovation Hub: </w:t>
      </w:r>
      <w:r w:rsidRPr="00352E40">
        <w:rPr>
          <w:rFonts w:eastAsia="Times New Roman" w:cs="Times New Roman"/>
          <w:i/>
          <w:iCs/>
          <w:sz w:val="22"/>
          <w:szCs w:val="22"/>
          <w:lang w:val="en-GB" w:eastAsia="de-AT"/>
        </w:rPr>
        <w:t>Residential Batteries are Establishing their Role in European Countries</w:t>
      </w:r>
      <w:r w:rsidRPr="00352E40">
        <w:rPr>
          <w:rFonts w:eastAsia="Times New Roman" w:cs="Times New Roman"/>
          <w:sz w:val="22"/>
          <w:szCs w:val="22"/>
          <w:lang w:val="en-GB" w:eastAsia="de-AT"/>
        </w:rPr>
        <w:t xml:space="preserve">, 2025. </w:t>
      </w:r>
      <w:r w:rsidRPr="00352E40">
        <w:rPr>
          <w:rFonts w:eastAsia="Times New Roman" w:cs="Times New Roman"/>
          <w:sz w:val="22"/>
          <w:szCs w:val="22"/>
          <w:lang w:val="de-AT" w:eastAsia="de-AT"/>
        </w:rPr>
        <w:t>Online: https://ignitisinnovation.com/residential-batteries-are-establishing-their-role-in-european-countries/</w:t>
      </w:r>
    </w:p>
    <w:p w14:paraId="253FE541"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Österreichisches Institut für Raumplanung (ÖIR): </w:t>
      </w:r>
      <w:r w:rsidRPr="00352E40">
        <w:rPr>
          <w:rFonts w:eastAsia="Times New Roman" w:cs="Times New Roman"/>
          <w:i/>
          <w:iCs/>
          <w:sz w:val="22"/>
          <w:szCs w:val="22"/>
          <w:lang w:val="de-AT" w:eastAsia="de-AT"/>
        </w:rPr>
        <w:t>Erneuerbare Energien in Österreich – Photovoltaik im Überblick 2024</w:t>
      </w:r>
      <w:r w:rsidRPr="00352E40">
        <w:rPr>
          <w:rFonts w:eastAsia="Times New Roman" w:cs="Times New Roman"/>
          <w:sz w:val="22"/>
          <w:szCs w:val="22"/>
          <w:lang w:val="de-AT" w:eastAsia="de-AT"/>
        </w:rPr>
        <w:t>, Wien, 2024.</w:t>
      </w:r>
    </w:p>
    <w:p w14:paraId="1F4AAF5B"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en-GB" w:eastAsia="de-AT"/>
        </w:rPr>
        <w:t xml:space="preserve">PNNL (Pacific Northwest National Laboratory): </w:t>
      </w:r>
      <w:r w:rsidRPr="00352E40">
        <w:rPr>
          <w:rFonts w:eastAsia="Times New Roman" w:cs="Times New Roman"/>
          <w:i/>
          <w:iCs/>
          <w:sz w:val="22"/>
          <w:szCs w:val="22"/>
          <w:lang w:val="en-GB" w:eastAsia="de-AT"/>
        </w:rPr>
        <w:t>2020 Grid Energy Storage Technology Cost and Performance Assessment</w:t>
      </w:r>
      <w:r w:rsidRPr="00352E40">
        <w:rPr>
          <w:rFonts w:eastAsia="Times New Roman" w:cs="Times New Roman"/>
          <w:sz w:val="22"/>
          <w:szCs w:val="22"/>
          <w:lang w:val="en-GB" w:eastAsia="de-AT"/>
        </w:rPr>
        <w:t xml:space="preserve">, 2020. </w:t>
      </w:r>
      <w:r w:rsidRPr="00352E40">
        <w:rPr>
          <w:rFonts w:eastAsia="Times New Roman" w:cs="Times New Roman"/>
          <w:sz w:val="22"/>
          <w:szCs w:val="22"/>
          <w:lang w:val="de-AT" w:eastAsia="de-AT"/>
        </w:rPr>
        <w:t>Online: https://www.pnnl.gov/sites/default/files/media/file/LeadAcid_Methodology.pdf</w:t>
      </w:r>
    </w:p>
    <w:p w14:paraId="0F35E724"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en-GB" w:eastAsia="de-AT"/>
        </w:rPr>
        <w:t xml:space="preserve">Powertechsystems.eu: </w:t>
      </w:r>
      <w:r w:rsidRPr="00352E40">
        <w:rPr>
          <w:rFonts w:eastAsia="Times New Roman" w:cs="Times New Roman"/>
          <w:i/>
          <w:iCs/>
          <w:sz w:val="22"/>
          <w:szCs w:val="22"/>
          <w:lang w:val="en-GB" w:eastAsia="de-AT"/>
        </w:rPr>
        <w:t>Lithium-ion vs Lead-Acid Cost Analysis</w:t>
      </w:r>
      <w:r w:rsidRPr="00352E40">
        <w:rPr>
          <w:rFonts w:eastAsia="Times New Roman" w:cs="Times New Roman"/>
          <w:sz w:val="22"/>
          <w:szCs w:val="22"/>
          <w:lang w:val="en-GB" w:eastAsia="de-AT"/>
        </w:rPr>
        <w:t xml:space="preserve">, 2024. </w:t>
      </w:r>
      <w:r w:rsidRPr="00352E40">
        <w:rPr>
          <w:rFonts w:eastAsia="Times New Roman" w:cs="Times New Roman"/>
          <w:sz w:val="22"/>
          <w:szCs w:val="22"/>
          <w:lang w:val="de-AT" w:eastAsia="de-AT"/>
        </w:rPr>
        <w:t>Online: https://www.powertechsystems.eu/home/tech-corner/lithium-ion-vs-lead-acid-cost-analysis/</w:t>
      </w:r>
    </w:p>
    <w:p w14:paraId="21F10295" w14:textId="77777777" w:rsidR="00352E40" w:rsidRPr="00352E40"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r w:rsidRPr="00352E40">
        <w:rPr>
          <w:rFonts w:eastAsia="Times New Roman" w:cs="Times New Roman"/>
          <w:sz w:val="22"/>
          <w:szCs w:val="22"/>
          <w:lang w:val="de-AT" w:eastAsia="de-AT"/>
        </w:rPr>
        <w:t xml:space="preserve">Statistik Austria: </w:t>
      </w:r>
      <w:r w:rsidRPr="00352E40">
        <w:rPr>
          <w:rFonts w:eastAsia="Times New Roman" w:cs="Times New Roman"/>
          <w:i/>
          <w:iCs/>
          <w:sz w:val="22"/>
          <w:szCs w:val="22"/>
          <w:lang w:val="de-AT" w:eastAsia="de-AT"/>
        </w:rPr>
        <w:t>Energiepreise und Verbraucherpreisindex 2024 – Entwicklung der Strompreise in Österreich</w:t>
      </w:r>
      <w:r w:rsidRPr="00352E40">
        <w:rPr>
          <w:rFonts w:eastAsia="Times New Roman" w:cs="Times New Roman"/>
          <w:sz w:val="22"/>
          <w:szCs w:val="22"/>
          <w:lang w:val="de-AT" w:eastAsia="de-AT"/>
        </w:rPr>
        <w:t>, Wien, 2024.</w:t>
      </w:r>
    </w:p>
    <w:p w14:paraId="7A17BF5C" w14:textId="36EF2325" w:rsidR="006A7C63" w:rsidRPr="00172671" w:rsidRDefault="00352E40" w:rsidP="00352E40">
      <w:pPr>
        <w:numPr>
          <w:ilvl w:val="0"/>
          <w:numId w:val="33"/>
        </w:numPr>
        <w:spacing w:before="100" w:beforeAutospacing="1" w:after="100" w:afterAutospacing="1"/>
        <w:jc w:val="both"/>
        <w:rPr>
          <w:rFonts w:eastAsia="Times New Roman" w:cs="Times New Roman"/>
          <w:sz w:val="22"/>
          <w:szCs w:val="22"/>
          <w:lang w:val="de-AT" w:eastAsia="de-AT"/>
        </w:rPr>
      </w:pPr>
      <w:proofErr w:type="spellStart"/>
      <w:r w:rsidRPr="00352E40">
        <w:rPr>
          <w:rFonts w:eastAsia="Times New Roman" w:cs="Times New Roman"/>
          <w:sz w:val="22"/>
          <w:szCs w:val="22"/>
          <w:lang w:val="de-AT" w:eastAsia="de-AT"/>
        </w:rPr>
        <w:t>Victron</w:t>
      </w:r>
      <w:proofErr w:type="spellEnd"/>
      <w:r w:rsidRPr="00352E40">
        <w:rPr>
          <w:rFonts w:eastAsia="Times New Roman" w:cs="Times New Roman"/>
          <w:sz w:val="22"/>
          <w:szCs w:val="22"/>
          <w:lang w:val="de-AT" w:eastAsia="de-AT"/>
        </w:rPr>
        <w:t xml:space="preserve"> Energy: </w:t>
      </w:r>
      <w:r w:rsidRPr="00352E40">
        <w:rPr>
          <w:rFonts w:eastAsia="Times New Roman" w:cs="Times New Roman"/>
          <w:i/>
          <w:iCs/>
          <w:sz w:val="22"/>
          <w:szCs w:val="22"/>
          <w:lang w:val="de-AT" w:eastAsia="de-AT"/>
        </w:rPr>
        <w:t xml:space="preserve">Produktdatenblätter </w:t>
      </w:r>
      <w:proofErr w:type="spellStart"/>
      <w:r w:rsidRPr="00352E40">
        <w:rPr>
          <w:rFonts w:eastAsia="Times New Roman" w:cs="Times New Roman"/>
          <w:i/>
          <w:iCs/>
          <w:sz w:val="22"/>
          <w:szCs w:val="22"/>
          <w:lang w:val="de-AT" w:eastAsia="de-AT"/>
        </w:rPr>
        <w:t>MultiPlus</w:t>
      </w:r>
      <w:proofErr w:type="spellEnd"/>
      <w:r w:rsidRPr="00352E40">
        <w:rPr>
          <w:rFonts w:eastAsia="Times New Roman" w:cs="Times New Roman"/>
          <w:i/>
          <w:iCs/>
          <w:sz w:val="22"/>
          <w:szCs w:val="22"/>
          <w:lang w:val="de-AT" w:eastAsia="de-AT"/>
        </w:rPr>
        <w:t xml:space="preserve"> 12/800, Orion 12/12-16 und </w:t>
      </w:r>
      <w:proofErr w:type="spellStart"/>
      <w:r w:rsidRPr="00352E40">
        <w:rPr>
          <w:rFonts w:eastAsia="Times New Roman" w:cs="Times New Roman"/>
          <w:i/>
          <w:iCs/>
          <w:sz w:val="22"/>
          <w:szCs w:val="22"/>
          <w:lang w:val="de-AT" w:eastAsia="de-AT"/>
        </w:rPr>
        <w:t>SmartShunt</w:t>
      </w:r>
      <w:proofErr w:type="spellEnd"/>
      <w:r w:rsidRPr="00352E40">
        <w:rPr>
          <w:rFonts w:eastAsia="Times New Roman" w:cs="Times New Roman"/>
          <w:i/>
          <w:iCs/>
          <w:sz w:val="22"/>
          <w:szCs w:val="22"/>
          <w:lang w:val="de-AT" w:eastAsia="de-AT"/>
        </w:rPr>
        <w:t xml:space="preserve"> 500A</w:t>
      </w:r>
      <w:r w:rsidRPr="00352E40">
        <w:rPr>
          <w:rFonts w:eastAsia="Times New Roman" w:cs="Times New Roman"/>
          <w:sz w:val="22"/>
          <w:szCs w:val="22"/>
          <w:lang w:val="de-AT" w:eastAsia="de-AT"/>
        </w:rPr>
        <w:t>, 2024.</w:t>
      </w:r>
    </w:p>
    <w:sectPr w:rsidR="006A7C63" w:rsidRPr="00172671">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6065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28B71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2F05997"/>
    <w:multiLevelType w:val="multilevel"/>
    <w:tmpl w:val="6D6EB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277F5"/>
    <w:multiLevelType w:val="multilevel"/>
    <w:tmpl w:val="9DDA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C95A62"/>
    <w:multiLevelType w:val="multilevel"/>
    <w:tmpl w:val="31B6A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65169"/>
    <w:multiLevelType w:val="multilevel"/>
    <w:tmpl w:val="02F82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55B39"/>
    <w:multiLevelType w:val="multilevel"/>
    <w:tmpl w:val="A8346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BD6C3C"/>
    <w:multiLevelType w:val="multilevel"/>
    <w:tmpl w:val="F83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8199B"/>
    <w:multiLevelType w:val="multilevel"/>
    <w:tmpl w:val="03BC7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104DBE"/>
    <w:multiLevelType w:val="multilevel"/>
    <w:tmpl w:val="94563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0333B"/>
    <w:multiLevelType w:val="multilevel"/>
    <w:tmpl w:val="3ED2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C171A"/>
    <w:multiLevelType w:val="multilevel"/>
    <w:tmpl w:val="C9F4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1C6D9B"/>
    <w:multiLevelType w:val="multilevel"/>
    <w:tmpl w:val="51B60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A1518B"/>
    <w:multiLevelType w:val="multilevel"/>
    <w:tmpl w:val="FC4A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D35F8"/>
    <w:multiLevelType w:val="multilevel"/>
    <w:tmpl w:val="447E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30455A"/>
    <w:multiLevelType w:val="multilevel"/>
    <w:tmpl w:val="839A4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3D7475"/>
    <w:multiLevelType w:val="multilevel"/>
    <w:tmpl w:val="F96A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8435B4"/>
    <w:multiLevelType w:val="multilevel"/>
    <w:tmpl w:val="108E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42637D"/>
    <w:multiLevelType w:val="multilevel"/>
    <w:tmpl w:val="1694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6052E6"/>
    <w:multiLevelType w:val="multilevel"/>
    <w:tmpl w:val="16B8F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75755E"/>
    <w:multiLevelType w:val="multilevel"/>
    <w:tmpl w:val="DE20E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D02A3A"/>
    <w:multiLevelType w:val="multilevel"/>
    <w:tmpl w:val="472C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E80DB9"/>
    <w:multiLevelType w:val="multilevel"/>
    <w:tmpl w:val="5E928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4A38C5"/>
    <w:multiLevelType w:val="multilevel"/>
    <w:tmpl w:val="3474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104B45"/>
    <w:multiLevelType w:val="multilevel"/>
    <w:tmpl w:val="D6843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6062467">
    <w:abstractNumId w:val="0"/>
  </w:num>
  <w:num w:numId="2" w16cid:durableId="2081364551">
    <w:abstractNumId w:val="1"/>
  </w:num>
  <w:num w:numId="3" w16cid:durableId="217520166">
    <w:abstractNumId w:val="1"/>
  </w:num>
  <w:num w:numId="4" w16cid:durableId="1772387617">
    <w:abstractNumId w:val="1"/>
  </w:num>
  <w:num w:numId="5" w16cid:durableId="2101901505">
    <w:abstractNumId w:val="1"/>
  </w:num>
  <w:num w:numId="6" w16cid:durableId="2139293982">
    <w:abstractNumId w:val="1"/>
  </w:num>
  <w:num w:numId="7" w16cid:durableId="1785231277">
    <w:abstractNumId w:val="1"/>
  </w:num>
  <w:num w:numId="8" w16cid:durableId="2026251522">
    <w:abstractNumId w:val="1"/>
  </w:num>
  <w:num w:numId="9" w16cid:durableId="268439965">
    <w:abstractNumId w:val="1"/>
  </w:num>
  <w:num w:numId="10" w16cid:durableId="2024235354">
    <w:abstractNumId w:val="1"/>
  </w:num>
  <w:num w:numId="11" w16cid:durableId="183790772">
    <w:abstractNumId w:val="5"/>
  </w:num>
  <w:num w:numId="12" w16cid:durableId="1942176695">
    <w:abstractNumId w:val="3"/>
  </w:num>
  <w:num w:numId="13" w16cid:durableId="734855603">
    <w:abstractNumId w:val="2"/>
  </w:num>
  <w:num w:numId="14" w16cid:durableId="135997007">
    <w:abstractNumId w:val="19"/>
  </w:num>
  <w:num w:numId="15" w16cid:durableId="1091245020">
    <w:abstractNumId w:val="16"/>
  </w:num>
  <w:num w:numId="16" w16cid:durableId="1408696735">
    <w:abstractNumId w:val="9"/>
  </w:num>
  <w:num w:numId="17" w16cid:durableId="1849372630">
    <w:abstractNumId w:val="18"/>
  </w:num>
  <w:num w:numId="18" w16cid:durableId="1038434380">
    <w:abstractNumId w:val="22"/>
  </w:num>
  <w:num w:numId="19" w16cid:durableId="1585334399">
    <w:abstractNumId w:val="23"/>
  </w:num>
  <w:num w:numId="20" w16cid:durableId="1236159132">
    <w:abstractNumId w:val="6"/>
  </w:num>
  <w:num w:numId="21" w16cid:durableId="1127355930">
    <w:abstractNumId w:val="8"/>
  </w:num>
  <w:num w:numId="22" w16cid:durableId="1771656034">
    <w:abstractNumId w:val="11"/>
  </w:num>
  <w:num w:numId="23" w16cid:durableId="423183322">
    <w:abstractNumId w:val="10"/>
  </w:num>
  <w:num w:numId="24" w16cid:durableId="421075296">
    <w:abstractNumId w:val="14"/>
  </w:num>
  <w:num w:numId="25" w16cid:durableId="419259679">
    <w:abstractNumId w:val="12"/>
  </w:num>
  <w:num w:numId="26" w16cid:durableId="1309556608">
    <w:abstractNumId w:val="7"/>
  </w:num>
  <w:num w:numId="27" w16cid:durableId="1937906989">
    <w:abstractNumId w:val="20"/>
  </w:num>
  <w:num w:numId="28" w16cid:durableId="1436242896">
    <w:abstractNumId w:val="24"/>
  </w:num>
  <w:num w:numId="29" w16cid:durableId="80640957">
    <w:abstractNumId w:val="4"/>
  </w:num>
  <w:num w:numId="30" w16cid:durableId="1870340836">
    <w:abstractNumId w:val="21"/>
  </w:num>
  <w:num w:numId="31" w16cid:durableId="783157570">
    <w:abstractNumId w:val="13"/>
  </w:num>
  <w:num w:numId="32" w16cid:durableId="2091537515">
    <w:abstractNumId w:val="17"/>
  </w:num>
  <w:num w:numId="33" w16cid:durableId="883369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30885"/>
    <w:rsid w:val="00040335"/>
    <w:rsid w:val="00040ADF"/>
    <w:rsid w:val="00041210"/>
    <w:rsid w:val="00112763"/>
    <w:rsid w:val="00172671"/>
    <w:rsid w:val="001807B9"/>
    <w:rsid w:val="00184291"/>
    <w:rsid w:val="001B24EC"/>
    <w:rsid w:val="00230037"/>
    <w:rsid w:val="002F0E2D"/>
    <w:rsid w:val="00352E40"/>
    <w:rsid w:val="00357FFE"/>
    <w:rsid w:val="00375AC9"/>
    <w:rsid w:val="00467F8F"/>
    <w:rsid w:val="00511C5E"/>
    <w:rsid w:val="00547077"/>
    <w:rsid w:val="00585DAC"/>
    <w:rsid w:val="005B4BA6"/>
    <w:rsid w:val="00673585"/>
    <w:rsid w:val="00692296"/>
    <w:rsid w:val="006A7C63"/>
    <w:rsid w:val="00722F87"/>
    <w:rsid w:val="00796693"/>
    <w:rsid w:val="007A6804"/>
    <w:rsid w:val="00903F73"/>
    <w:rsid w:val="009065C1"/>
    <w:rsid w:val="00940370"/>
    <w:rsid w:val="00947EA7"/>
    <w:rsid w:val="0095761F"/>
    <w:rsid w:val="009973AE"/>
    <w:rsid w:val="00A30885"/>
    <w:rsid w:val="00A651D1"/>
    <w:rsid w:val="00A65A85"/>
    <w:rsid w:val="00AA1D13"/>
    <w:rsid w:val="00AB5CD8"/>
    <w:rsid w:val="00BC1440"/>
    <w:rsid w:val="00BF0943"/>
    <w:rsid w:val="00C22884"/>
    <w:rsid w:val="00C51D73"/>
    <w:rsid w:val="00C61E06"/>
    <w:rsid w:val="00D73375"/>
    <w:rsid w:val="00DB2366"/>
    <w:rsid w:val="00DF1312"/>
    <w:rsid w:val="00E6101D"/>
    <w:rsid w:val="00F63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4D36C"/>
  <w15:docId w15:val="{8DC2809D-7B89-431D-906B-389CCFE28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pacing w:val="-10"/>
      <w:kern w:val="28"/>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krper"/>
    <w:qFormat/>
    <w:pPr>
      <w:keepNext/>
      <w:keepLines/>
      <w:jc w:val="center"/>
    </w:pPr>
  </w:style>
  <w:style w:type="paragraph" w:styleId="Datum">
    <w:name w:val="Date"/>
    <w:next w:val="Textkrper"/>
    <w:qFormat/>
    <w:pPr>
      <w:keepNext/>
      <w:keepLines/>
      <w:jc w:val="center"/>
    </w:p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enabsatz">
    <w:name w:val="List Paragraph"/>
    <w:basedOn w:val="Standard"/>
    <w:rsid w:val="00040335"/>
    <w:pPr>
      <w:ind w:left="720"/>
      <w:contextualSpacing/>
    </w:pPr>
  </w:style>
  <w:style w:type="character" w:styleId="Fett">
    <w:name w:val="Strong"/>
    <w:basedOn w:val="Absatz-Standardschriftart"/>
    <w:uiPriority w:val="22"/>
    <w:qFormat/>
    <w:rsid w:val="00467F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7904">
      <w:bodyDiv w:val="1"/>
      <w:marLeft w:val="0"/>
      <w:marRight w:val="0"/>
      <w:marTop w:val="0"/>
      <w:marBottom w:val="0"/>
      <w:divBdr>
        <w:top w:val="none" w:sz="0" w:space="0" w:color="auto"/>
        <w:left w:val="none" w:sz="0" w:space="0" w:color="auto"/>
        <w:bottom w:val="none" w:sz="0" w:space="0" w:color="auto"/>
        <w:right w:val="none" w:sz="0" w:space="0" w:color="auto"/>
      </w:divBdr>
    </w:div>
    <w:div w:id="19475881">
      <w:bodyDiv w:val="1"/>
      <w:marLeft w:val="0"/>
      <w:marRight w:val="0"/>
      <w:marTop w:val="0"/>
      <w:marBottom w:val="0"/>
      <w:divBdr>
        <w:top w:val="none" w:sz="0" w:space="0" w:color="auto"/>
        <w:left w:val="none" w:sz="0" w:space="0" w:color="auto"/>
        <w:bottom w:val="none" w:sz="0" w:space="0" w:color="auto"/>
        <w:right w:val="none" w:sz="0" w:space="0" w:color="auto"/>
      </w:divBdr>
    </w:div>
    <w:div w:id="258753010">
      <w:bodyDiv w:val="1"/>
      <w:marLeft w:val="0"/>
      <w:marRight w:val="0"/>
      <w:marTop w:val="0"/>
      <w:marBottom w:val="0"/>
      <w:divBdr>
        <w:top w:val="none" w:sz="0" w:space="0" w:color="auto"/>
        <w:left w:val="none" w:sz="0" w:space="0" w:color="auto"/>
        <w:bottom w:val="none" w:sz="0" w:space="0" w:color="auto"/>
        <w:right w:val="none" w:sz="0" w:space="0" w:color="auto"/>
      </w:divBdr>
    </w:div>
    <w:div w:id="337003028">
      <w:bodyDiv w:val="1"/>
      <w:marLeft w:val="0"/>
      <w:marRight w:val="0"/>
      <w:marTop w:val="0"/>
      <w:marBottom w:val="0"/>
      <w:divBdr>
        <w:top w:val="none" w:sz="0" w:space="0" w:color="auto"/>
        <w:left w:val="none" w:sz="0" w:space="0" w:color="auto"/>
        <w:bottom w:val="none" w:sz="0" w:space="0" w:color="auto"/>
        <w:right w:val="none" w:sz="0" w:space="0" w:color="auto"/>
      </w:divBdr>
    </w:div>
    <w:div w:id="514423589">
      <w:bodyDiv w:val="1"/>
      <w:marLeft w:val="0"/>
      <w:marRight w:val="0"/>
      <w:marTop w:val="0"/>
      <w:marBottom w:val="0"/>
      <w:divBdr>
        <w:top w:val="none" w:sz="0" w:space="0" w:color="auto"/>
        <w:left w:val="none" w:sz="0" w:space="0" w:color="auto"/>
        <w:bottom w:val="none" w:sz="0" w:space="0" w:color="auto"/>
        <w:right w:val="none" w:sz="0" w:space="0" w:color="auto"/>
      </w:divBdr>
    </w:div>
    <w:div w:id="797451892">
      <w:bodyDiv w:val="1"/>
      <w:marLeft w:val="0"/>
      <w:marRight w:val="0"/>
      <w:marTop w:val="0"/>
      <w:marBottom w:val="0"/>
      <w:divBdr>
        <w:top w:val="none" w:sz="0" w:space="0" w:color="auto"/>
        <w:left w:val="none" w:sz="0" w:space="0" w:color="auto"/>
        <w:bottom w:val="none" w:sz="0" w:space="0" w:color="auto"/>
        <w:right w:val="none" w:sz="0" w:space="0" w:color="auto"/>
      </w:divBdr>
    </w:div>
    <w:div w:id="1201163645">
      <w:bodyDiv w:val="1"/>
      <w:marLeft w:val="0"/>
      <w:marRight w:val="0"/>
      <w:marTop w:val="0"/>
      <w:marBottom w:val="0"/>
      <w:divBdr>
        <w:top w:val="none" w:sz="0" w:space="0" w:color="auto"/>
        <w:left w:val="none" w:sz="0" w:space="0" w:color="auto"/>
        <w:bottom w:val="none" w:sz="0" w:space="0" w:color="auto"/>
        <w:right w:val="none" w:sz="0" w:space="0" w:color="auto"/>
      </w:divBdr>
    </w:div>
    <w:div w:id="1327826816">
      <w:bodyDiv w:val="1"/>
      <w:marLeft w:val="0"/>
      <w:marRight w:val="0"/>
      <w:marTop w:val="0"/>
      <w:marBottom w:val="0"/>
      <w:divBdr>
        <w:top w:val="none" w:sz="0" w:space="0" w:color="auto"/>
        <w:left w:val="none" w:sz="0" w:space="0" w:color="auto"/>
        <w:bottom w:val="none" w:sz="0" w:space="0" w:color="auto"/>
        <w:right w:val="none" w:sz="0" w:space="0" w:color="auto"/>
      </w:divBdr>
    </w:div>
    <w:div w:id="1484812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1627</Words>
  <Characters>10256</Characters>
  <Application>Microsoft Office Word</Application>
  <DocSecurity>0</DocSecurity>
  <Lines>85</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BAUMANN Christian, SchülerIn</cp:lastModifiedBy>
  <cp:revision>43</cp:revision>
  <dcterms:created xsi:type="dcterms:W3CDTF">2025-11-01T11:25:00Z</dcterms:created>
  <dcterms:modified xsi:type="dcterms:W3CDTF">2025-11-13T07:19:00Z</dcterms:modified>
</cp:coreProperties>
</file>