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B2E23" w14:textId="77777777" w:rsidR="00622AA7" w:rsidRDefault="00622AA7" w:rsidP="00622AA7">
      <w:pPr>
        <w:ind w:left="708"/>
        <w:jc w:val="both"/>
        <w:rPr>
          <w:rFonts w:cs="Arial"/>
        </w:rPr>
      </w:pPr>
    </w:p>
    <w:p w14:paraId="1215C078" w14:textId="77777777" w:rsidR="00622AA7" w:rsidRDefault="00622AA7" w:rsidP="00622AA7">
      <w:pPr>
        <w:ind w:left="708"/>
        <w:jc w:val="both"/>
        <w:rPr>
          <w:rFonts w:cs="Arial"/>
        </w:rPr>
      </w:pPr>
      <w:r>
        <w:rPr>
          <w:rFonts w:cs="Arial"/>
        </w:rPr>
        <w:t>Gehört vielleicht eher in die gemeinsame Einleitung!!!</w:t>
      </w:r>
    </w:p>
    <w:p w14:paraId="67858792" w14:textId="77777777" w:rsidR="00622AA7" w:rsidRPr="00A42FF6" w:rsidRDefault="00622AA7" w:rsidP="00622AA7">
      <w:pPr>
        <w:ind w:left="708"/>
        <w:jc w:val="both"/>
        <w:rPr>
          <w:rFonts w:cs="Arial"/>
        </w:rPr>
      </w:pPr>
      <w:r w:rsidRPr="00A42FF6">
        <w:rPr>
          <w:rFonts w:cs="Arial"/>
        </w:rPr>
        <w:t xml:space="preserve">ausschließlich auf die Energiebereitstellung und </w:t>
      </w:r>
      <w:r>
        <w:rPr>
          <w:rFonts w:cs="Arial"/>
        </w:rPr>
        <w:t>-v</w:t>
      </w:r>
      <w:r w:rsidRPr="00A42FF6">
        <w:rPr>
          <w:rFonts w:cs="Arial"/>
        </w:rPr>
        <w:t>erwaltung. Die Schnittstelle bildet die 230</w:t>
      </w:r>
      <w:r>
        <w:rPr>
          <w:rFonts w:cs="Arial"/>
        </w:rPr>
        <w:t> </w:t>
      </w:r>
      <w:r w:rsidRPr="00A42FF6">
        <w:rPr>
          <w:rFonts w:cs="Arial"/>
        </w:rPr>
        <w:t>V AC-Versorgung bzw. die 12</w:t>
      </w:r>
      <w:r>
        <w:rPr>
          <w:rFonts w:cs="Arial"/>
        </w:rPr>
        <w:t> </w:t>
      </w:r>
      <w:r w:rsidRPr="00A42FF6">
        <w:rPr>
          <w:rFonts w:cs="Arial"/>
        </w:rPr>
        <w:t>V/5</w:t>
      </w:r>
      <w:r>
        <w:rPr>
          <w:rFonts w:cs="Arial"/>
        </w:rPr>
        <w:t> </w:t>
      </w:r>
      <w:r w:rsidRPr="00A42FF6">
        <w:rPr>
          <w:rFonts w:cs="Arial"/>
        </w:rPr>
        <w:t>V DC-Versorgung für die verschiedenen Subsysteme.</w:t>
      </w:r>
    </w:p>
    <w:p w14:paraId="08AECCED" w14:textId="77777777" w:rsidR="00622AA7" w:rsidRDefault="00622AA7" w:rsidP="00622AA7">
      <w:pPr>
        <w:ind w:left="708"/>
        <w:jc w:val="both"/>
        <w:rPr>
          <w:rFonts w:cs="Arial"/>
        </w:rPr>
      </w:pPr>
    </w:p>
    <w:p w14:paraId="34F84E41" w14:textId="77777777" w:rsidR="00622AA7" w:rsidRDefault="00622AA7" w:rsidP="00622AA7">
      <w:pPr>
        <w:ind w:left="708"/>
        <w:jc w:val="both"/>
        <w:rPr>
          <w:rFonts w:cs="Arial"/>
        </w:rPr>
      </w:pPr>
    </w:p>
    <w:p w14:paraId="34DEE942" w14:textId="77777777" w:rsidR="00622AA7" w:rsidRPr="00A42FF6" w:rsidRDefault="00622AA7" w:rsidP="00622AA7">
      <w:pPr>
        <w:ind w:left="708"/>
        <w:jc w:val="both"/>
        <w:rPr>
          <w:rFonts w:cs="Arial"/>
        </w:rPr>
      </w:pPr>
      <w:r w:rsidRPr="00A42FF6">
        <w:rPr>
          <w:rFonts w:cs="Arial"/>
        </w:rPr>
        <w:t>Der Prototyp kombiniert ein 180</w:t>
      </w:r>
      <w:r>
        <w:rPr>
          <w:rFonts w:cs="Arial"/>
        </w:rPr>
        <w:t> </w:t>
      </w:r>
      <w:r w:rsidRPr="00A42FF6">
        <w:rPr>
          <w:rFonts w:cs="Arial"/>
        </w:rPr>
        <w:t>W Photovoltaik-Panel mit einer 100</w:t>
      </w:r>
      <w:r>
        <w:rPr>
          <w:rFonts w:cs="Arial"/>
        </w:rPr>
        <w:t> </w:t>
      </w:r>
      <w:r w:rsidRPr="00A42FF6">
        <w:rPr>
          <w:rFonts w:cs="Arial"/>
        </w:rPr>
        <w:t xml:space="preserve">Ah AGM-Batterie und </w:t>
      </w:r>
      <w:proofErr w:type="spellStart"/>
      <w:r w:rsidRPr="00A42FF6">
        <w:rPr>
          <w:rFonts w:cs="Arial"/>
        </w:rPr>
        <w:t>Victron</w:t>
      </w:r>
      <w:proofErr w:type="spellEnd"/>
      <w:r w:rsidRPr="00A42FF6">
        <w:rPr>
          <w:rFonts w:cs="Arial"/>
        </w:rPr>
        <w:t xml:space="preserve"> MultiPlus 12/800. Durch die Hybrid-Konfiguration kann das System bei Energiemangel automatisch auf Netzbetrieb umschalten, während PV-Überschüsse im Sommer ins Netz eingespeist werden. Dies demonstriert die Funktionsweise moderner ESS-Systeme (Energy Storage Systems) im kleinen Maßstab.</w:t>
      </w:r>
    </w:p>
    <w:p w14:paraId="66A7540D" w14:textId="77777777" w:rsidR="00622AA7" w:rsidRPr="00A42FF6" w:rsidRDefault="00622AA7" w:rsidP="00622AA7">
      <w:pPr>
        <w:ind w:left="708"/>
        <w:jc w:val="both"/>
        <w:rPr>
          <w:rFonts w:cs="Arial"/>
        </w:rPr>
      </w:pPr>
      <w:r w:rsidRPr="00A42FF6">
        <w:rPr>
          <w:rFonts w:cs="Arial"/>
        </w:rPr>
        <w:t>Das 10</w:t>
      </w:r>
      <w:r>
        <w:rPr>
          <w:rFonts w:cs="Arial"/>
        </w:rPr>
        <w:t> </w:t>
      </w:r>
      <w:r w:rsidRPr="00A42FF6">
        <w:rPr>
          <w:rFonts w:cs="Arial"/>
        </w:rPr>
        <w:t xml:space="preserve">m² System wird mit 1800W PV-Leistung (10× 180W Module), LiFePO4-Batterie und </w:t>
      </w:r>
      <w:proofErr w:type="spellStart"/>
      <w:r w:rsidRPr="00A42FF6">
        <w:rPr>
          <w:rFonts w:cs="Arial"/>
        </w:rPr>
        <w:t>Victron</w:t>
      </w:r>
      <w:proofErr w:type="spellEnd"/>
      <w:r w:rsidRPr="00A42FF6">
        <w:rPr>
          <w:rFonts w:cs="Arial"/>
        </w:rPr>
        <w:t xml:space="preserve"> </w:t>
      </w:r>
      <w:proofErr w:type="spellStart"/>
      <w:r w:rsidRPr="00A42FF6">
        <w:rPr>
          <w:rFonts w:cs="Arial"/>
        </w:rPr>
        <w:t>MultiPlus</w:t>
      </w:r>
      <w:proofErr w:type="spellEnd"/>
      <w:r w:rsidRPr="00A42FF6">
        <w:rPr>
          <w:rFonts w:cs="Arial"/>
        </w:rPr>
        <w:t>-II 48/3000 theoretisch ausgelegt. Die Wirtschaftsanalyse vergleicht verschiedene Systemarchitekturen (reines Inselsystem, Hybrid) hinsichtlich Investitionskosten, Betriebskosten und Amortisationszeit für landwirtschaftliche Anwendungen.</w:t>
      </w:r>
    </w:p>
    <w:p w14:paraId="3C507713" w14:textId="77777777" w:rsidR="00622AA7" w:rsidRDefault="00622AA7" w:rsidP="00622AA7">
      <w:pPr>
        <w:ind w:left="708"/>
        <w:jc w:val="both"/>
        <w:rPr>
          <w:rFonts w:cs="Arial"/>
        </w:rPr>
      </w:pPr>
    </w:p>
    <w:p w14:paraId="75F4F382" w14:textId="77777777" w:rsidR="00622AA7" w:rsidRPr="008C6D28" w:rsidRDefault="00622AA7" w:rsidP="00622AA7">
      <w:pPr>
        <w:ind w:firstLine="708"/>
        <w:rPr>
          <w:rFonts w:cs="Arial"/>
          <w:b/>
          <w:bCs/>
          <w:sz w:val="28"/>
          <w:szCs w:val="28"/>
        </w:rPr>
      </w:pPr>
      <w:r w:rsidRPr="008C6D28">
        <w:rPr>
          <w:rFonts w:cs="Arial"/>
          <w:b/>
          <w:bCs/>
          <w:sz w:val="28"/>
          <w:szCs w:val="28"/>
        </w:rPr>
        <w:t>Problemstellung und Motivation</w:t>
      </w:r>
    </w:p>
    <w:p w14:paraId="512EB9BD" w14:textId="77777777" w:rsidR="00622AA7" w:rsidRPr="00A42FF6" w:rsidRDefault="00622AA7" w:rsidP="00622AA7">
      <w:pPr>
        <w:ind w:left="708"/>
        <w:jc w:val="both"/>
        <w:rPr>
          <w:rFonts w:cs="Arial"/>
        </w:rPr>
      </w:pPr>
      <w:r w:rsidRPr="00A42FF6">
        <w:rPr>
          <w:rFonts w:cs="Arial"/>
        </w:rPr>
        <w:t>Für den Betrieb eines automatisierten Gewächshauses wird eine zuverlässige Stromversorgung benötigt, die rund um die Uhr funktioniert. Bei landwirtschaftlichen Anwendungen stellt sich die grundsätzliche Frage: Vollständig autarkes Inselsystem oder Hybrid-Lösung mit Netzanbindung? Beide Ansätze haben Vor- und Nachteile, die von Standort, Verfügbarkeit und Wirtschaftlichkeit abhängen.</w:t>
      </w:r>
    </w:p>
    <w:p w14:paraId="089856B7" w14:textId="77777777" w:rsidR="00622AA7" w:rsidRPr="00A42FF6" w:rsidRDefault="00622AA7" w:rsidP="00622AA7">
      <w:pPr>
        <w:ind w:left="708"/>
        <w:jc w:val="both"/>
        <w:rPr>
          <w:rFonts w:cs="Arial"/>
        </w:rPr>
      </w:pPr>
      <w:r w:rsidRPr="00A42FF6">
        <w:rPr>
          <w:rFonts w:cs="Arial"/>
        </w:rPr>
        <w:t>Moderne Gewächshäuser benötigen kontinuierliche Energieversorgung für elektronische Komponenten wie Sensoren, Steuerungen, Bewässerungspumpen und im Winter für Frostschutzheizungen. Eine reine Insellösung mit Photovoltaik und Batteriespeicher bietet vollständige Unabhängigkeit, erfordert aber große Speicherkapazitäten für mehrere bewölkte Wintertage. Eine Hybrid-Lösung mit Netzanbindung ermöglicht kleinere Batterien und nutzt Überschussenergie durch Einspeisung, benötigt jedoch einen Netzanschluss.</w:t>
      </w:r>
    </w:p>
    <w:p w14:paraId="57434FCB" w14:textId="77777777" w:rsidR="00622AA7" w:rsidRPr="00A42FF6" w:rsidRDefault="00622AA7" w:rsidP="00622AA7">
      <w:pPr>
        <w:ind w:left="708"/>
        <w:jc w:val="both"/>
        <w:rPr>
          <w:rFonts w:cs="Arial"/>
        </w:rPr>
      </w:pPr>
      <w:r w:rsidRPr="00A42FF6">
        <w:rPr>
          <w:rFonts w:cs="Arial"/>
        </w:rPr>
        <w:t>Besonders kritisch für die Systemauslegung sind mehrere bewölkte Wintertage hintereinander, wo die Photovoltaik-Anlage nur minimale Erträge liefert und die Batterie den gesamten Energiebedarf decken muss.</w:t>
      </w:r>
    </w:p>
    <w:p w14:paraId="4C590A1E" w14:textId="77777777" w:rsidR="00622AA7" w:rsidRPr="008C6D28" w:rsidRDefault="00622AA7" w:rsidP="00622AA7">
      <w:pPr>
        <w:ind w:left="708"/>
        <w:jc w:val="both"/>
        <w:rPr>
          <w:rFonts w:cs="Arial"/>
        </w:rPr>
      </w:pPr>
    </w:p>
    <w:p w14:paraId="51D16D0C" w14:textId="77777777" w:rsidR="00F443B6" w:rsidRDefault="00F443B6"/>
    <w:sectPr w:rsidR="00F443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A3"/>
    <w:rsid w:val="000C52CA"/>
    <w:rsid w:val="0026657A"/>
    <w:rsid w:val="00504AA3"/>
    <w:rsid w:val="00622AA7"/>
    <w:rsid w:val="00C27728"/>
    <w:rsid w:val="00D317AC"/>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67176-9DAC-4F4B-B9CB-EF5596A6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22AA7"/>
  </w:style>
  <w:style w:type="paragraph" w:styleId="berschrift1">
    <w:name w:val="heading 1"/>
    <w:basedOn w:val="Standard"/>
    <w:next w:val="Standard"/>
    <w:link w:val="berschrift1Zchn"/>
    <w:uiPriority w:val="9"/>
    <w:qFormat/>
    <w:rsid w:val="00504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04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04AA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4AA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4AA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4AA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4AA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04AA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4AA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4AA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04AA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04AA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4AA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4AA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4AA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4AA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4AA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4AA3"/>
    <w:rPr>
      <w:rFonts w:eastAsiaTheme="majorEastAsia" w:cstheme="majorBidi"/>
      <w:color w:val="272727" w:themeColor="text1" w:themeTint="D8"/>
    </w:rPr>
  </w:style>
  <w:style w:type="paragraph" w:styleId="Titel">
    <w:name w:val="Title"/>
    <w:basedOn w:val="Standard"/>
    <w:next w:val="Standard"/>
    <w:link w:val="TitelZchn"/>
    <w:uiPriority w:val="10"/>
    <w:qFormat/>
    <w:rsid w:val="00504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4AA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4AA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4AA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4AA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4AA3"/>
    <w:rPr>
      <w:i/>
      <w:iCs/>
      <w:color w:val="404040" w:themeColor="text1" w:themeTint="BF"/>
    </w:rPr>
  </w:style>
  <w:style w:type="paragraph" w:styleId="Listenabsatz">
    <w:name w:val="List Paragraph"/>
    <w:basedOn w:val="Standard"/>
    <w:uiPriority w:val="34"/>
    <w:qFormat/>
    <w:rsid w:val="00504AA3"/>
    <w:pPr>
      <w:ind w:left="720"/>
      <w:contextualSpacing/>
    </w:pPr>
  </w:style>
  <w:style w:type="character" w:styleId="IntensiveHervorhebung">
    <w:name w:val="Intense Emphasis"/>
    <w:basedOn w:val="Absatz-Standardschriftart"/>
    <w:uiPriority w:val="21"/>
    <w:qFormat/>
    <w:rsid w:val="00504AA3"/>
    <w:rPr>
      <w:i/>
      <w:iCs/>
      <w:color w:val="0F4761" w:themeColor="accent1" w:themeShade="BF"/>
    </w:rPr>
  </w:style>
  <w:style w:type="paragraph" w:styleId="IntensivesZitat">
    <w:name w:val="Intense Quote"/>
    <w:basedOn w:val="Standard"/>
    <w:next w:val="Standard"/>
    <w:link w:val="IntensivesZitatZchn"/>
    <w:uiPriority w:val="30"/>
    <w:qFormat/>
    <w:rsid w:val="00504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4AA3"/>
    <w:rPr>
      <w:i/>
      <w:iCs/>
      <w:color w:val="0F4761" w:themeColor="accent1" w:themeShade="BF"/>
    </w:rPr>
  </w:style>
  <w:style w:type="character" w:styleId="IntensiverVerweis">
    <w:name w:val="Intense Reference"/>
    <w:basedOn w:val="Absatz-Standardschriftart"/>
    <w:uiPriority w:val="32"/>
    <w:qFormat/>
    <w:rsid w:val="00504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1801</Characters>
  <Application>Microsoft Office Word</Application>
  <DocSecurity>0</DocSecurity>
  <Lines>15</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2</cp:revision>
  <dcterms:created xsi:type="dcterms:W3CDTF">2026-01-26T13:29:00Z</dcterms:created>
  <dcterms:modified xsi:type="dcterms:W3CDTF">2026-01-26T13:29:00Z</dcterms:modified>
</cp:coreProperties>
</file>