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77E4B" w14:textId="13C6EC72" w:rsidR="008C6D28" w:rsidRPr="00D95053" w:rsidRDefault="00ED3B02" w:rsidP="008C6D28">
      <w:pPr>
        <w:rPr>
          <w:rFonts w:cs="Arial"/>
          <w:b/>
          <w:bCs/>
          <w:sz w:val="32"/>
          <w:szCs w:val="32"/>
        </w:rPr>
      </w:pPr>
      <w:r w:rsidRPr="00D95053">
        <w:rPr>
          <w:rFonts w:cs="Arial"/>
          <w:b/>
          <w:bCs/>
          <w:sz w:val="32"/>
          <w:szCs w:val="32"/>
        </w:rPr>
        <w:t xml:space="preserve">4.1 Zielsetzung </w:t>
      </w:r>
      <w:r w:rsidR="006B26E7">
        <w:rPr>
          <w:rFonts w:cs="Arial"/>
          <w:b/>
          <w:bCs/>
          <w:sz w:val="32"/>
          <w:szCs w:val="32"/>
        </w:rPr>
        <w:t>und Abgrenzung</w:t>
      </w:r>
    </w:p>
    <w:p w14:paraId="31D9DA87" w14:textId="77777777" w:rsidR="006B26E7" w:rsidRPr="00A42FF6" w:rsidRDefault="006B26E7" w:rsidP="006B26E7">
      <w:pPr>
        <w:ind w:left="708"/>
        <w:jc w:val="both"/>
        <w:rPr>
          <w:rFonts w:cs="Arial"/>
        </w:rPr>
      </w:pPr>
      <w:r w:rsidRPr="00A42FF6">
        <w:rPr>
          <w:rFonts w:cs="Arial"/>
        </w:rPr>
        <w:t>Ziel dieser Arbeit ist die Entwicklung und Umsetzung eines Energie-Management-Systems für automatisierte Gewächshäuser. Der praktische Teil umfasst den Aufbau eines 0,7</w:t>
      </w:r>
      <w:r>
        <w:rPr>
          <w:rFonts w:cs="Arial"/>
        </w:rPr>
        <w:t> </w:t>
      </w:r>
      <w:r w:rsidRPr="00A42FF6">
        <w:rPr>
          <w:rFonts w:cs="Arial"/>
        </w:rPr>
        <w:t>m² Prototyp-Gewächshauses mit 12</w:t>
      </w:r>
      <w:r>
        <w:rPr>
          <w:rFonts w:cs="Arial"/>
        </w:rPr>
        <w:t> </w:t>
      </w:r>
      <w:r w:rsidRPr="00A42FF6">
        <w:rPr>
          <w:rFonts w:cs="Arial"/>
        </w:rPr>
        <w:t>V Hybrid-System, das als Technologie-Demonstrator dient. Parallel erfolgt die theoretische Auslegung eines skalierten 10</w:t>
      </w:r>
      <w:r>
        <w:rPr>
          <w:rFonts w:cs="Arial"/>
        </w:rPr>
        <w:t xml:space="preserve"> </w:t>
      </w:r>
      <w:r w:rsidRPr="00A42FF6">
        <w:rPr>
          <w:rFonts w:cs="Arial"/>
        </w:rPr>
        <w:t>m² Systems mit 48</w:t>
      </w:r>
      <w:r>
        <w:rPr>
          <w:rFonts w:cs="Arial"/>
        </w:rPr>
        <w:t> </w:t>
      </w:r>
      <w:r w:rsidRPr="00A42FF6">
        <w:rPr>
          <w:rFonts w:cs="Arial"/>
        </w:rPr>
        <w:t>V-Architektur für den landwirtschaftlichen Einsatz.</w:t>
      </w:r>
    </w:p>
    <w:p w14:paraId="0DA12CCF" w14:textId="77777777" w:rsidR="006B26E7" w:rsidRPr="00A42FF6" w:rsidRDefault="006B26E7" w:rsidP="006B26E7">
      <w:pPr>
        <w:ind w:left="708"/>
        <w:jc w:val="both"/>
        <w:rPr>
          <w:rFonts w:cs="Arial"/>
        </w:rPr>
      </w:pPr>
      <w:r w:rsidRPr="00A42FF6">
        <w:rPr>
          <w:rFonts w:cs="Arial"/>
        </w:rPr>
        <w:t>Der Prototyp kombiniert ein 180</w:t>
      </w:r>
      <w:r>
        <w:rPr>
          <w:rFonts w:cs="Arial"/>
        </w:rPr>
        <w:t> </w:t>
      </w:r>
      <w:r w:rsidRPr="00A42FF6">
        <w:rPr>
          <w:rFonts w:cs="Arial"/>
        </w:rPr>
        <w:t>W Photovoltaik-Panel mit einer 100</w:t>
      </w:r>
      <w:r>
        <w:rPr>
          <w:rFonts w:cs="Arial"/>
        </w:rPr>
        <w:t> </w:t>
      </w:r>
      <w:r w:rsidRPr="00A42FF6">
        <w:rPr>
          <w:rFonts w:cs="Arial"/>
        </w:rPr>
        <w:t>Ah AGM-Batterie und Victron MultiPlus 12/800. Durch die Hybrid-Konfiguration kann das System bei Energiemangel automatisch auf Netzbetrieb umschalten, während PV-Überschüsse im Sommer ins Netz eingespeist werden. Dies demonstriert die Funktionsweise moderner ESS-Systeme (Energy Storage Systems) im kleinen Maßstab.</w:t>
      </w:r>
    </w:p>
    <w:p w14:paraId="7B40CAC7" w14:textId="77777777" w:rsidR="006B26E7" w:rsidRPr="00A42FF6" w:rsidRDefault="006B26E7" w:rsidP="006B26E7">
      <w:pPr>
        <w:ind w:left="708"/>
        <w:jc w:val="both"/>
        <w:rPr>
          <w:rFonts w:cs="Arial"/>
        </w:rPr>
      </w:pPr>
      <w:r w:rsidRPr="00A42FF6">
        <w:rPr>
          <w:rFonts w:cs="Arial"/>
        </w:rPr>
        <w:t>Das 10</w:t>
      </w:r>
      <w:r>
        <w:rPr>
          <w:rFonts w:cs="Arial"/>
        </w:rPr>
        <w:t> </w:t>
      </w:r>
      <w:r w:rsidRPr="00A42FF6">
        <w:rPr>
          <w:rFonts w:cs="Arial"/>
        </w:rPr>
        <w:t>m² System wird mit 1800W PV-Leistung (10× 180W Module), LiFePO4-Batterie und Victron MultiPlus-II 48/3000 theoretisch ausgelegt. Die Wirtschaftsanalyse vergleicht verschiedene Systemarchitekturen (reines Inselsystem, Hybrid) hinsichtlich Investitionskosten, Betriebskosten und Amortisationszeit für landwirtschaftliche Anwendungen.</w:t>
      </w:r>
    </w:p>
    <w:p w14:paraId="7FB01C5D" w14:textId="77777777" w:rsidR="006B26E7" w:rsidRPr="00A42FF6" w:rsidRDefault="006B26E7" w:rsidP="006B26E7">
      <w:pPr>
        <w:ind w:left="708"/>
        <w:jc w:val="both"/>
        <w:rPr>
          <w:rFonts w:cs="Arial"/>
        </w:rPr>
      </w:pPr>
      <w:r w:rsidRPr="00A42FF6">
        <w:rPr>
          <w:rFonts w:cs="Arial"/>
        </w:rPr>
        <w:t>Der Fokus liegt auf folgenden Bereichen:</w:t>
      </w:r>
    </w:p>
    <w:p w14:paraId="223D2787" w14:textId="77777777" w:rsidR="006B26E7" w:rsidRPr="00A42FF6" w:rsidRDefault="006B26E7" w:rsidP="006B26E7">
      <w:pPr>
        <w:numPr>
          <w:ilvl w:val="0"/>
          <w:numId w:val="3"/>
        </w:numPr>
        <w:tabs>
          <w:tab w:val="clear" w:pos="1068"/>
          <w:tab w:val="num" w:pos="720"/>
        </w:tabs>
        <w:jc w:val="both"/>
        <w:rPr>
          <w:rFonts w:cs="Arial"/>
        </w:rPr>
      </w:pPr>
      <w:r w:rsidRPr="00A42FF6">
        <w:rPr>
          <w:rFonts w:cs="Arial"/>
        </w:rPr>
        <w:t>Dimensionierung und Auswahl aller Komponenten für Prototyp und 10m² System</w:t>
      </w:r>
    </w:p>
    <w:p w14:paraId="1F2236BE" w14:textId="77777777" w:rsidR="006B26E7" w:rsidRPr="00A42FF6" w:rsidRDefault="006B26E7" w:rsidP="006B26E7">
      <w:pPr>
        <w:numPr>
          <w:ilvl w:val="0"/>
          <w:numId w:val="3"/>
        </w:numPr>
        <w:tabs>
          <w:tab w:val="clear" w:pos="1068"/>
          <w:tab w:val="num" w:pos="720"/>
        </w:tabs>
        <w:jc w:val="both"/>
        <w:rPr>
          <w:rFonts w:cs="Arial"/>
        </w:rPr>
      </w:pPr>
      <w:r w:rsidRPr="00A42FF6">
        <w:rPr>
          <w:rFonts w:cs="Arial"/>
        </w:rPr>
        <w:t>Integration der Victron-Komponenten (MultiPlus, SmartShunt, Cerbo GX) für professionelles Monitoring</w:t>
      </w:r>
    </w:p>
    <w:p w14:paraId="7E9AE28C" w14:textId="77777777" w:rsidR="006B26E7" w:rsidRPr="00A42FF6" w:rsidRDefault="006B26E7" w:rsidP="006B26E7">
      <w:pPr>
        <w:numPr>
          <w:ilvl w:val="0"/>
          <w:numId w:val="3"/>
        </w:numPr>
        <w:tabs>
          <w:tab w:val="clear" w:pos="1068"/>
          <w:tab w:val="num" w:pos="720"/>
        </w:tabs>
        <w:jc w:val="both"/>
        <w:rPr>
          <w:rFonts w:cs="Arial"/>
        </w:rPr>
      </w:pPr>
      <w:r w:rsidRPr="00A42FF6">
        <w:rPr>
          <w:rFonts w:cs="Arial"/>
        </w:rPr>
        <w:t>Vergleichende Wirtschaftsanalyse: Inselsystem vs. Hybrid-System vs. reiner Netzbezug</w:t>
      </w:r>
    </w:p>
    <w:p w14:paraId="16F218A9" w14:textId="77777777" w:rsidR="006B26E7" w:rsidRPr="00A42FF6" w:rsidRDefault="006B26E7" w:rsidP="006B26E7">
      <w:pPr>
        <w:numPr>
          <w:ilvl w:val="0"/>
          <w:numId w:val="3"/>
        </w:numPr>
        <w:tabs>
          <w:tab w:val="clear" w:pos="1068"/>
          <w:tab w:val="num" w:pos="720"/>
        </w:tabs>
        <w:jc w:val="both"/>
        <w:rPr>
          <w:rFonts w:cs="Arial"/>
        </w:rPr>
      </w:pPr>
      <w:r w:rsidRPr="00A42FF6">
        <w:rPr>
          <w:rFonts w:cs="Arial"/>
        </w:rPr>
        <w:t>Bewertung verschiedener Batterietechnologien (AGM vs. LiFePO4) über die Lebensdauer</w:t>
      </w:r>
    </w:p>
    <w:p w14:paraId="60A8D25A" w14:textId="572BB8EA" w:rsidR="006B26E7" w:rsidRPr="00A42FF6" w:rsidRDefault="006B26E7" w:rsidP="006B26E7">
      <w:pPr>
        <w:ind w:left="708"/>
        <w:jc w:val="both"/>
        <w:rPr>
          <w:rFonts w:cs="Arial"/>
        </w:rPr>
      </w:pPr>
      <w:r w:rsidRPr="00A42FF6">
        <w:rPr>
          <w:rFonts w:cs="Arial"/>
          <w:b/>
          <w:bCs/>
        </w:rPr>
        <w:t>Abgrenzung:</w:t>
      </w:r>
      <w:r w:rsidRPr="00A42FF6">
        <w:rPr>
          <w:rFonts w:cs="Arial"/>
        </w:rPr>
        <w:t xml:space="preserve"> Die Entwicklung der einzelnen Verbraucher (Sensoren, Bewässerung, Klimasteuerung) </w:t>
      </w:r>
      <w:r w:rsidR="00D94345">
        <w:rPr>
          <w:rFonts w:cs="Arial"/>
        </w:rPr>
        <w:t xml:space="preserve">und der Bau des Gewächshauses </w:t>
      </w:r>
      <w:r w:rsidRPr="00A42FF6">
        <w:rPr>
          <w:rFonts w:cs="Arial"/>
        </w:rPr>
        <w:t xml:space="preserve">wird in anderen Modulen behandelt. Diese Arbeit konzentriert sich ausschließlich auf die Energiebereitstellung und </w:t>
      </w:r>
      <w:r w:rsidR="00B2027B">
        <w:rPr>
          <w:rFonts w:cs="Arial"/>
        </w:rPr>
        <w:t>-v</w:t>
      </w:r>
      <w:r w:rsidRPr="00A42FF6">
        <w:rPr>
          <w:rFonts w:cs="Arial"/>
        </w:rPr>
        <w:t>erwaltung. Die Schnittstelle bildet die 230</w:t>
      </w:r>
      <w:r>
        <w:rPr>
          <w:rFonts w:cs="Arial"/>
        </w:rPr>
        <w:t> </w:t>
      </w:r>
      <w:r w:rsidRPr="00A42FF6">
        <w:rPr>
          <w:rFonts w:cs="Arial"/>
        </w:rPr>
        <w:t>V AC-Versorgung bzw. die 12</w:t>
      </w:r>
      <w:r>
        <w:rPr>
          <w:rFonts w:cs="Arial"/>
        </w:rPr>
        <w:t> </w:t>
      </w:r>
      <w:r w:rsidRPr="00A42FF6">
        <w:rPr>
          <w:rFonts w:cs="Arial"/>
        </w:rPr>
        <w:t>V/5</w:t>
      </w:r>
      <w:r>
        <w:rPr>
          <w:rFonts w:cs="Arial"/>
        </w:rPr>
        <w:t> </w:t>
      </w:r>
      <w:r w:rsidRPr="00A42FF6">
        <w:rPr>
          <w:rFonts w:cs="Arial"/>
        </w:rPr>
        <w:t>V DC-Versorgung für die verschiedenen Subsysteme.</w:t>
      </w:r>
    </w:p>
    <w:p w14:paraId="479AA10F" w14:textId="77777777" w:rsidR="006B26E7" w:rsidRPr="00A42FF6" w:rsidRDefault="006B26E7" w:rsidP="006B26E7">
      <w:pPr>
        <w:ind w:left="708"/>
        <w:jc w:val="both"/>
        <w:rPr>
          <w:rFonts w:cs="Arial"/>
        </w:rPr>
      </w:pPr>
      <w:r w:rsidRPr="00A42FF6">
        <w:rPr>
          <w:rFonts w:cs="Arial"/>
        </w:rPr>
        <w:t>Abbildung 1 zeigt die Systemarchitektur-Übersicht für den Prototyp im Vergleich zum skalierten 10m² System.</w:t>
      </w:r>
    </w:p>
    <w:p w14:paraId="7F27B864" w14:textId="446FC4A2" w:rsidR="006B26E7" w:rsidRDefault="006B26E7" w:rsidP="006B26E7">
      <w:pPr>
        <w:ind w:left="708"/>
        <w:jc w:val="both"/>
        <w:rPr>
          <w:rFonts w:cs="Arial"/>
        </w:rPr>
      </w:pPr>
      <w:r w:rsidRPr="00A42FF6">
        <w:rPr>
          <w:rFonts w:cs="Arial"/>
          <w:b/>
          <w:bCs/>
        </w:rPr>
        <w:t>[Abbildung 1: Systemarchitektur-Übersicht Prototyp (12V) vs. 10m² System (48V)]</w:t>
      </w:r>
    </w:p>
    <w:p w14:paraId="1117CCC9" w14:textId="77777777" w:rsidR="00B2027B" w:rsidRPr="006B26E7" w:rsidRDefault="00B2027B" w:rsidP="006B26E7">
      <w:pPr>
        <w:ind w:left="708"/>
        <w:jc w:val="both"/>
        <w:rPr>
          <w:rFonts w:cs="Arial"/>
        </w:rPr>
      </w:pPr>
    </w:p>
    <w:p w14:paraId="4138C62B" w14:textId="04CC5F55" w:rsidR="008C6D28" w:rsidRPr="008C6D28" w:rsidRDefault="00ED3B02" w:rsidP="008C6D28">
      <w:pPr>
        <w:ind w:left="708"/>
        <w:rPr>
          <w:rFonts w:cs="Arial"/>
          <w:b/>
          <w:bCs/>
          <w:sz w:val="28"/>
          <w:szCs w:val="28"/>
        </w:rPr>
      </w:pPr>
      <w:r w:rsidRPr="008C6D28">
        <w:rPr>
          <w:rFonts w:cs="Arial"/>
          <w:b/>
          <w:bCs/>
          <w:sz w:val="28"/>
          <w:szCs w:val="28"/>
        </w:rPr>
        <w:t>4.1.</w:t>
      </w:r>
      <w:r w:rsidR="00B2027B">
        <w:rPr>
          <w:rFonts w:cs="Arial"/>
          <w:b/>
          <w:bCs/>
          <w:sz w:val="28"/>
          <w:szCs w:val="28"/>
        </w:rPr>
        <w:t>1</w:t>
      </w:r>
      <w:r w:rsidRPr="008C6D28">
        <w:rPr>
          <w:rFonts w:cs="Arial"/>
          <w:b/>
          <w:bCs/>
          <w:sz w:val="28"/>
          <w:szCs w:val="28"/>
        </w:rPr>
        <w:t xml:space="preserve"> Anforderungen an das Energiesystem</w:t>
      </w:r>
    </w:p>
    <w:p w14:paraId="139CE857" w14:textId="77777777" w:rsidR="00E815F3" w:rsidRPr="00A42FF6" w:rsidRDefault="00E815F3" w:rsidP="00E815F3">
      <w:pPr>
        <w:ind w:left="708"/>
        <w:jc w:val="both"/>
        <w:rPr>
          <w:rFonts w:cs="Arial"/>
        </w:rPr>
      </w:pPr>
      <w:r w:rsidRPr="00A42FF6">
        <w:rPr>
          <w:rFonts w:cs="Arial"/>
        </w:rPr>
        <w:t>Das Energiesystem muss mehrere wichtige Anforderungen erfüllen:</w:t>
      </w:r>
    </w:p>
    <w:p w14:paraId="058A1B30" w14:textId="77777777" w:rsidR="00E815F3" w:rsidRPr="00A42FF6" w:rsidRDefault="00E815F3" w:rsidP="00E815F3">
      <w:pPr>
        <w:ind w:left="708"/>
        <w:jc w:val="both"/>
        <w:rPr>
          <w:rFonts w:cs="Arial"/>
        </w:rPr>
      </w:pPr>
      <w:r w:rsidRPr="00A42FF6">
        <w:rPr>
          <w:rFonts w:cs="Arial"/>
          <w:b/>
          <w:bCs/>
        </w:rPr>
        <w:t>Versorgungssicherheit:</w:t>
      </w:r>
      <w:r w:rsidRPr="00A42FF6">
        <w:rPr>
          <w:rFonts w:cs="Arial"/>
        </w:rPr>
        <w:t xml:space="preserve"> Das System muss das ganze Jahr über funktionieren, auch bei schlechtem Wetter im Winter. Ein Ausfall würde bedeuten, dass wichtige Messdaten verloren gehen, Steuerungsfunktionen ausfallen und im schlimmsten Fall Pflanzen durch Frost geschädigt werden.</w:t>
      </w:r>
    </w:p>
    <w:p w14:paraId="1E41C227" w14:textId="3FCB9500" w:rsidR="00E815F3" w:rsidRPr="00A42FF6" w:rsidRDefault="00E815F3" w:rsidP="00E815F3">
      <w:pPr>
        <w:ind w:left="708"/>
        <w:jc w:val="both"/>
        <w:rPr>
          <w:rFonts w:cs="Arial"/>
        </w:rPr>
      </w:pPr>
      <w:r w:rsidRPr="00A42FF6">
        <w:rPr>
          <w:rFonts w:cs="Arial"/>
          <w:b/>
          <w:bCs/>
        </w:rPr>
        <w:lastRenderedPageBreak/>
        <w:t>Skalierbarkeit:</w:t>
      </w:r>
      <w:r w:rsidRPr="00A42FF6">
        <w:rPr>
          <w:rFonts w:cs="Arial"/>
        </w:rPr>
        <w:t xml:space="preserve"> Die Lösung muss vom Prototypen (0,7m²) auf größere Anwendungen (10m²+) übertragbar sein. Dabei spielen sowohl technische Aspekte (Systemspannung 12V vs. 48V) als auch wirtschaftliche Überlegungen eine Rolle.</w:t>
      </w:r>
    </w:p>
    <w:p w14:paraId="5BC2111B" w14:textId="77777777" w:rsidR="00E815F3" w:rsidRPr="00A42FF6" w:rsidRDefault="00E815F3" w:rsidP="00E815F3">
      <w:pPr>
        <w:ind w:left="708"/>
        <w:jc w:val="both"/>
        <w:rPr>
          <w:rFonts w:cs="Arial"/>
        </w:rPr>
      </w:pPr>
      <w:r w:rsidRPr="00A42FF6">
        <w:rPr>
          <w:rFonts w:cs="Arial"/>
          <w:b/>
          <w:bCs/>
        </w:rPr>
        <w:t>Intelligente Lastverteilung:</w:t>
      </w:r>
      <w:r w:rsidRPr="00A42FF6">
        <w:rPr>
          <w:rFonts w:cs="Arial"/>
        </w:rPr>
        <w:t xml:space="preserve"> Bei niedrigem Batteriestand müssen unwichtige Verbraucher automatisch abgeschaltet werden, während kritische Komponenten wie Sensoren, Steuerung und Frostschutz weiterlaufen. Das Lastmanagement verhindert Tiefentladung und maximiert die Laufzeit kritischer Systeme.</w:t>
      </w:r>
    </w:p>
    <w:p w14:paraId="3F1728D4" w14:textId="77777777" w:rsidR="00E815F3" w:rsidRPr="00A42FF6" w:rsidRDefault="00E815F3" w:rsidP="00E815F3">
      <w:pPr>
        <w:ind w:left="708"/>
        <w:jc w:val="both"/>
        <w:rPr>
          <w:rFonts w:cs="Arial"/>
        </w:rPr>
      </w:pPr>
      <w:r w:rsidRPr="00A42FF6">
        <w:rPr>
          <w:rFonts w:cs="Arial"/>
          <w:b/>
          <w:bCs/>
        </w:rPr>
        <w:t>Monitoring und Fernüberwachung:</w:t>
      </w:r>
      <w:r w:rsidRPr="00A42FF6">
        <w:rPr>
          <w:rFonts w:cs="Arial"/>
        </w:rPr>
        <w:t xml:space="preserve"> Der Zustand des Energiesystems (Batterieladung, PV-Leistung, Verbrauch) muss jederzeit überwacht werden können, auch aus der Ferne über das Internet. Historische Daten ermöglichen die Analyse und Optimierung des Systems.</w:t>
      </w:r>
    </w:p>
    <w:p w14:paraId="541362F5" w14:textId="44E1CB78" w:rsidR="00A42FF6" w:rsidRDefault="00E815F3" w:rsidP="006B26E7">
      <w:pPr>
        <w:ind w:left="708"/>
        <w:jc w:val="both"/>
        <w:rPr>
          <w:rFonts w:cs="Arial"/>
        </w:rPr>
      </w:pPr>
      <w:r w:rsidRPr="00A42FF6">
        <w:rPr>
          <w:rFonts w:cs="Arial"/>
          <w:b/>
          <w:bCs/>
        </w:rPr>
        <w:t>Wirtschaftlichkeit:</w:t>
      </w:r>
      <w:r w:rsidRPr="00A42FF6">
        <w:rPr>
          <w:rFonts w:cs="Arial"/>
        </w:rPr>
        <w:t xml:space="preserve"> Die Systemarchitektur muss wirtschaftlich vertretbar sein. Dabei spielen Investitionskosten, Betriebskosten, Amortisationszeit und bei Hybrid-Systemen auch Einspeisevergütungen eine Rolle. Ein überdimensioniertes System ist technisch sicher, aber unwirtschaftlich.</w:t>
      </w:r>
    </w:p>
    <w:p w14:paraId="72A6E00C" w14:textId="77777777" w:rsidR="00B2027B" w:rsidRDefault="00B2027B" w:rsidP="006B26E7">
      <w:pPr>
        <w:ind w:left="708"/>
        <w:jc w:val="both"/>
        <w:rPr>
          <w:rFonts w:cs="Arial"/>
        </w:rPr>
      </w:pPr>
    </w:p>
    <w:p w14:paraId="7B1657B6" w14:textId="77777777" w:rsidR="00B2027B" w:rsidRDefault="00B2027B" w:rsidP="006B26E7">
      <w:pPr>
        <w:ind w:left="708"/>
        <w:jc w:val="both"/>
        <w:rPr>
          <w:rFonts w:cs="Arial"/>
        </w:rPr>
      </w:pPr>
    </w:p>
    <w:p w14:paraId="318791DE" w14:textId="77777777" w:rsidR="00B2027B" w:rsidRDefault="00B2027B" w:rsidP="006B26E7">
      <w:pPr>
        <w:ind w:left="708"/>
        <w:jc w:val="both"/>
        <w:rPr>
          <w:rFonts w:cs="Arial"/>
        </w:rPr>
      </w:pPr>
    </w:p>
    <w:p w14:paraId="79E10274" w14:textId="69A802C7" w:rsidR="00B2027B" w:rsidRDefault="00B2027B" w:rsidP="006B26E7">
      <w:pPr>
        <w:ind w:left="708"/>
        <w:jc w:val="both"/>
        <w:rPr>
          <w:rFonts w:cs="Arial"/>
        </w:rPr>
      </w:pPr>
      <w:r>
        <w:rPr>
          <w:rFonts w:cs="Arial"/>
        </w:rPr>
        <w:t>Gehört vielleicht eher in die gemeinsame Einleitung!!!</w:t>
      </w:r>
    </w:p>
    <w:p w14:paraId="0C49FDBA" w14:textId="43761A6A" w:rsidR="00B2027B" w:rsidRPr="008C6D28" w:rsidRDefault="00B2027B" w:rsidP="00B2027B">
      <w:pPr>
        <w:ind w:firstLine="708"/>
        <w:rPr>
          <w:rFonts w:cs="Arial"/>
          <w:b/>
          <w:bCs/>
          <w:sz w:val="28"/>
          <w:szCs w:val="28"/>
        </w:rPr>
      </w:pPr>
      <w:r w:rsidRPr="008C6D28">
        <w:rPr>
          <w:rFonts w:cs="Arial"/>
          <w:b/>
          <w:bCs/>
          <w:sz w:val="28"/>
          <w:szCs w:val="28"/>
        </w:rPr>
        <w:t>Problemstellung und Motivation</w:t>
      </w:r>
    </w:p>
    <w:p w14:paraId="0D978A23" w14:textId="77777777" w:rsidR="00B2027B" w:rsidRPr="00A42FF6" w:rsidRDefault="00B2027B" w:rsidP="00B2027B">
      <w:pPr>
        <w:ind w:left="708"/>
        <w:jc w:val="both"/>
        <w:rPr>
          <w:rFonts w:cs="Arial"/>
        </w:rPr>
      </w:pPr>
      <w:r w:rsidRPr="00A42FF6">
        <w:rPr>
          <w:rFonts w:cs="Arial"/>
        </w:rPr>
        <w:t>Für den Betrieb eines automatisierten Gewächshauses wird eine zuverlässige Stromversorgung benötigt, die rund um die Uhr funktioniert. Bei landwirtschaftlichen Anwendungen stellt sich die grundsätzliche Frage: Vollständig autarkes Inselsystem oder Hybrid-Lösung mit Netzanbindung? Beide Ansätze haben Vor- und Nachteile, die von Standort, Verfügbarkeit und Wirtschaftlichkeit abhängen.</w:t>
      </w:r>
    </w:p>
    <w:p w14:paraId="099B11B9" w14:textId="77777777" w:rsidR="00B2027B" w:rsidRPr="00A42FF6" w:rsidRDefault="00B2027B" w:rsidP="00B2027B">
      <w:pPr>
        <w:ind w:left="708"/>
        <w:jc w:val="both"/>
        <w:rPr>
          <w:rFonts w:cs="Arial"/>
        </w:rPr>
      </w:pPr>
      <w:r w:rsidRPr="00A42FF6">
        <w:rPr>
          <w:rFonts w:cs="Arial"/>
        </w:rPr>
        <w:t>Moderne Gewächshäuser benötigen kontinuierliche Energieversorgung für elektronische Komponenten wie Sensoren, Steuerungen, Bewässerungspumpen und im Winter für Frostschutzheizungen. Eine reine Insellösung mit Photovoltaik und Batteriespeicher bietet vollständige Unabhängigkeit, erfordert aber große Speicherkapazitäten für mehrere bewölkte Wintertage. Eine Hybrid-Lösung mit Netzanbindung ermöglicht kleinere Batterien und nutzt Überschussenergie durch Einspeisung, benötigt jedoch einen Netzanschluss.</w:t>
      </w:r>
    </w:p>
    <w:p w14:paraId="1D0391BE" w14:textId="77777777" w:rsidR="00B2027B" w:rsidRPr="00A42FF6" w:rsidRDefault="00B2027B" w:rsidP="00B2027B">
      <w:pPr>
        <w:ind w:left="708"/>
        <w:jc w:val="both"/>
        <w:rPr>
          <w:rFonts w:cs="Arial"/>
        </w:rPr>
      </w:pPr>
      <w:r w:rsidRPr="00A42FF6">
        <w:rPr>
          <w:rFonts w:cs="Arial"/>
        </w:rPr>
        <w:t>Besonders kritisch für die Systemauslegung sind mehrere bewölkte Wintertage hintereinander, wo die Photovoltaik-Anlage nur minimale Erträge liefert und die Batterie den gesamten Energiebedarf decken muss.</w:t>
      </w:r>
    </w:p>
    <w:p w14:paraId="7C7414AC" w14:textId="77777777" w:rsidR="00B2027B" w:rsidRPr="008C6D28" w:rsidRDefault="00B2027B" w:rsidP="006B26E7">
      <w:pPr>
        <w:ind w:left="708"/>
        <w:jc w:val="both"/>
        <w:rPr>
          <w:rFonts w:cs="Arial"/>
        </w:rPr>
      </w:pPr>
    </w:p>
    <w:sectPr w:rsidR="00B2027B" w:rsidRPr="008C6D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97995"/>
    <w:multiLevelType w:val="multilevel"/>
    <w:tmpl w:val="26F275A0"/>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 w15:restartNumberingAfterBreak="0">
    <w:nsid w:val="3EF2087F"/>
    <w:multiLevelType w:val="multilevel"/>
    <w:tmpl w:val="35F6AA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72C95EDC"/>
    <w:multiLevelType w:val="multilevel"/>
    <w:tmpl w:val="D6EA50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87258748">
    <w:abstractNumId w:val="2"/>
  </w:num>
  <w:num w:numId="2" w16cid:durableId="2024940824">
    <w:abstractNumId w:val="0"/>
  </w:num>
  <w:num w:numId="3" w16cid:durableId="1043678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331"/>
    <w:rsid w:val="00082549"/>
    <w:rsid w:val="000C2331"/>
    <w:rsid w:val="000C52CA"/>
    <w:rsid w:val="001853DA"/>
    <w:rsid w:val="001A3C72"/>
    <w:rsid w:val="001A7CB6"/>
    <w:rsid w:val="00201966"/>
    <w:rsid w:val="00217239"/>
    <w:rsid w:val="002D0C6F"/>
    <w:rsid w:val="003E2110"/>
    <w:rsid w:val="003E2C96"/>
    <w:rsid w:val="00401844"/>
    <w:rsid w:val="0044390B"/>
    <w:rsid w:val="00444FFB"/>
    <w:rsid w:val="0044727C"/>
    <w:rsid w:val="004F238B"/>
    <w:rsid w:val="006B26E7"/>
    <w:rsid w:val="00735F53"/>
    <w:rsid w:val="00742A42"/>
    <w:rsid w:val="007808A3"/>
    <w:rsid w:val="008C6D28"/>
    <w:rsid w:val="008D6371"/>
    <w:rsid w:val="00A42FF6"/>
    <w:rsid w:val="00A7590F"/>
    <w:rsid w:val="00AC2EFA"/>
    <w:rsid w:val="00B11FFD"/>
    <w:rsid w:val="00B2027B"/>
    <w:rsid w:val="00C27728"/>
    <w:rsid w:val="00D317AC"/>
    <w:rsid w:val="00D94345"/>
    <w:rsid w:val="00D95053"/>
    <w:rsid w:val="00E815F3"/>
    <w:rsid w:val="00ED3B02"/>
    <w:rsid w:val="00F15349"/>
    <w:rsid w:val="00F16E49"/>
    <w:rsid w:val="00F443B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5D4DD"/>
  <w15:chartTrackingRefBased/>
  <w15:docId w15:val="{38D2A3FF-6992-423C-9D9B-36450A12E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3B02"/>
  </w:style>
  <w:style w:type="paragraph" w:styleId="berschrift1">
    <w:name w:val="heading 1"/>
    <w:basedOn w:val="Standard"/>
    <w:next w:val="Standard"/>
    <w:link w:val="berschrift1Zchn"/>
    <w:uiPriority w:val="9"/>
    <w:qFormat/>
    <w:rsid w:val="000C2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C2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C233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C233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C233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C233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C233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C233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C233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C233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C233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C233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C233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C233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C233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C233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C233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C2331"/>
    <w:rPr>
      <w:rFonts w:eastAsiaTheme="majorEastAsia" w:cstheme="majorBidi"/>
      <w:color w:val="272727" w:themeColor="text1" w:themeTint="D8"/>
    </w:rPr>
  </w:style>
  <w:style w:type="paragraph" w:styleId="Titel">
    <w:name w:val="Title"/>
    <w:basedOn w:val="Standard"/>
    <w:next w:val="Standard"/>
    <w:link w:val="TitelZchn"/>
    <w:uiPriority w:val="10"/>
    <w:qFormat/>
    <w:rsid w:val="000C2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C233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C233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C233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C233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C2331"/>
    <w:rPr>
      <w:i/>
      <w:iCs/>
      <w:color w:val="404040" w:themeColor="text1" w:themeTint="BF"/>
    </w:rPr>
  </w:style>
  <w:style w:type="paragraph" w:styleId="Listenabsatz">
    <w:name w:val="List Paragraph"/>
    <w:basedOn w:val="Standard"/>
    <w:uiPriority w:val="34"/>
    <w:qFormat/>
    <w:rsid w:val="000C2331"/>
    <w:pPr>
      <w:ind w:left="720"/>
      <w:contextualSpacing/>
    </w:pPr>
  </w:style>
  <w:style w:type="character" w:styleId="IntensiveHervorhebung">
    <w:name w:val="Intense Emphasis"/>
    <w:basedOn w:val="Absatz-Standardschriftart"/>
    <w:uiPriority w:val="21"/>
    <w:qFormat/>
    <w:rsid w:val="000C2331"/>
    <w:rPr>
      <w:i/>
      <w:iCs/>
      <w:color w:val="0F4761" w:themeColor="accent1" w:themeShade="BF"/>
    </w:rPr>
  </w:style>
  <w:style w:type="paragraph" w:styleId="IntensivesZitat">
    <w:name w:val="Intense Quote"/>
    <w:basedOn w:val="Standard"/>
    <w:next w:val="Standard"/>
    <w:link w:val="IntensivesZitatZchn"/>
    <w:uiPriority w:val="30"/>
    <w:qFormat/>
    <w:rsid w:val="000C2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C2331"/>
    <w:rPr>
      <w:i/>
      <w:iCs/>
      <w:color w:val="0F4761" w:themeColor="accent1" w:themeShade="BF"/>
    </w:rPr>
  </w:style>
  <w:style w:type="character" w:styleId="IntensiverVerweis">
    <w:name w:val="Intense Reference"/>
    <w:basedOn w:val="Absatz-Standardschriftart"/>
    <w:uiPriority w:val="32"/>
    <w:qFormat/>
    <w:rsid w:val="000C23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645</Words>
  <Characters>4065</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47</cp:revision>
  <dcterms:created xsi:type="dcterms:W3CDTF">2025-12-17T09:04:00Z</dcterms:created>
  <dcterms:modified xsi:type="dcterms:W3CDTF">2026-01-20T15:47:00Z</dcterms:modified>
</cp:coreProperties>
</file>