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5C04" w14:textId="77777777" w:rsidR="00A31414" w:rsidRPr="00A31414" w:rsidRDefault="00A31414" w:rsidP="00A31414">
      <w:pPr>
        <w:spacing w:before="240" w:line="240" w:lineRule="auto"/>
        <w:outlineLvl w:val="1"/>
        <w:rPr>
          <w:rFonts w:eastAsia="Arial" w:cs="Arial"/>
          <w:b/>
          <w:bCs/>
          <w:kern w:val="0"/>
          <w:sz w:val="28"/>
          <w:szCs w:val="28"/>
          <w:lang w:eastAsia="de-AT"/>
          <w14:ligatures w14:val="none"/>
        </w:rPr>
      </w:pPr>
      <w:r w:rsidRPr="00A31414">
        <w:rPr>
          <w:rFonts w:eastAsia="Arial" w:cs="Arial"/>
          <w:b/>
          <w:bCs/>
          <w:kern w:val="0"/>
          <w:sz w:val="28"/>
          <w:szCs w:val="28"/>
          <w:lang w:eastAsia="de-AT"/>
          <w14:ligatures w14:val="none"/>
        </w:rPr>
        <w:t>4.9 Zusammenfassung und Ausblick</w:t>
      </w:r>
    </w:p>
    <w:p w14:paraId="0715B809" w14:textId="77777777" w:rsidR="00A31414" w:rsidRPr="00A31414" w:rsidRDefault="00A31414" w:rsidP="00A31414">
      <w:pPr>
        <w:spacing w:line="240" w:lineRule="auto"/>
        <w:jc w:val="both"/>
        <w:rPr>
          <w:rFonts w:eastAsia="Arial" w:cs="Arial"/>
          <w:kern w:val="0"/>
          <w:sz w:val="24"/>
          <w:szCs w:val="24"/>
          <w:lang w:eastAsia="de-AT"/>
          <w14:ligatures w14:val="none"/>
        </w:rPr>
      </w:pPr>
      <w:r w:rsidRPr="00A31414">
        <w:rPr>
          <w:rFonts w:eastAsia="Arial" w:cs="Arial"/>
          <w:kern w:val="0"/>
          <w:sz w:val="24"/>
          <w:szCs w:val="24"/>
          <w:lang w:eastAsia="de-AT"/>
          <w14:ligatures w14:val="none"/>
        </w:rPr>
        <w:t>Das Ziel dieses Teils der Diplomarbeit war der Aufbau und die Inbetriebnahme eines hybriden Energie-Management-Systems für ein automatisiertes Gewächshaus sowie die wirtschaftliche Bewertung des Konzepts. Im Folgenden werden die erreichten Ergebnisse bewertet und Potenziale für eine Weiterentwicklung aufgezeigt.</w:t>
      </w:r>
    </w:p>
    <w:p w14:paraId="6741D5AF" w14:textId="77777777" w:rsidR="00A31414" w:rsidRPr="00A31414" w:rsidRDefault="00A31414" w:rsidP="00A31414">
      <w:pPr>
        <w:spacing w:before="200" w:after="120" w:line="240" w:lineRule="auto"/>
        <w:outlineLvl w:val="2"/>
        <w:rPr>
          <w:rFonts w:eastAsia="Arial" w:cs="Arial"/>
          <w:b/>
          <w:bCs/>
          <w:kern w:val="0"/>
          <w:sz w:val="26"/>
          <w:szCs w:val="26"/>
          <w:lang w:eastAsia="de-AT"/>
          <w14:ligatures w14:val="none"/>
        </w:rPr>
      </w:pPr>
      <w:r w:rsidRPr="00A31414">
        <w:rPr>
          <w:rFonts w:eastAsia="Arial" w:cs="Arial"/>
          <w:b/>
          <w:bCs/>
          <w:kern w:val="0"/>
          <w:sz w:val="26"/>
          <w:szCs w:val="26"/>
          <w:lang w:eastAsia="de-AT"/>
          <w14:ligatures w14:val="none"/>
        </w:rPr>
        <w:t>4.9.1 Erreichte Ziele und Erfahrungen</w:t>
      </w:r>
    </w:p>
    <w:p w14:paraId="63AF7F0D" w14:textId="77777777" w:rsidR="00A31414" w:rsidRPr="00A31414" w:rsidRDefault="00A31414" w:rsidP="00A31414">
      <w:pPr>
        <w:spacing w:line="240" w:lineRule="auto"/>
        <w:jc w:val="both"/>
        <w:rPr>
          <w:rFonts w:eastAsia="Arial" w:cs="Arial"/>
          <w:kern w:val="0"/>
          <w:sz w:val="24"/>
          <w:szCs w:val="24"/>
          <w:lang w:eastAsia="de-AT"/>
          <w14:ligatures w14:val="none"/>
        </w:rPr>
      </w:pPr>
      <w:r w:rsidRPr="00A31414">
        <w:rPr>
          <w:rFonts w:eastAsia="Arial" w:cs="Arial"/>
          <w:kern w:val="0"/>
          <w:sz w:val="24"/>
          <w:szCs w:val="24"/>
          <w:lang w:eastAsia="de-AT"/>
          <w14:ligatures w14:val="none"/>
        </w:rPr>
        <w:t xml:space="preserve">Die zwei zentralen Ziele dieses Projektteils konnten erfolgreich umgesetzt werden. Der Prototyp wurde vollständig aufgebaut und in Betrieb genommen. Das hybride Energiesystem bestehend aus einem 150 W Photovoltaikmodul, einem 12 V 100 Ah </w:t>
      </w:r>
      <w:proofErr w:type="spellStart"/>
      <w:r w:rsidRPr="00A31414">
        <w:rPr>
          <w:rFonts w:eastAsia="Arial" w:cs="Arial"/>
          <w:kern w:val="0"/>
          <w:sz w:val="24"/>
          <w:szCs w:val="24"/>
          <w:lang w:eastAsia="de-AT"/>
          <w14:ligatures w14:val="none"/>
        </w:rPr>
        <w:t>LiFePO</w:t>
      </w:r>
      <w:proofErr w:type="spellEnd"/>
      <w:r w:rsidRPr="00A31414">
        <w:rPr>
          <w:rFonts w:eastAsia="Arial" w:cs="Cambria Math"/>
          <w:kern w:val="0"/>
          <w:sz w:val="24"/>
          <w:szCs w:val="24"/>
          <w:lang w:eastAsia="de-AT"/>
          <w14:ligatures w14:val="none"/>
        </w:rPr>
        <w:t>₄</w:t>
      </w:r>
      <w:r w:rsidRPr="00A31414">
        <w:rPr>
          <w:rFonts w:eastAsia="Arial" w:cs="Arial"/>
          <w:kern w:val="0"/>
          <w:sz w:val="24"/>
          <w:szCs w:val="24"/>
          <w:lang w:eastAsia="de-AT"/>
          <w14:ligatures w14:val="none"/>
        </w:rPr>
        <w:t>-Akkusystem und dem Victron MultiPlus 12/800 arbeitet stabil und demonstriert das Zusammenspiel von PV-Erzeugung, Batteriespeicherung und Netz-Backup unter realen Bedingungen. Darüber hinaus wurde eine umfassende Wirtschaftlichkeitsanalyse durchgeführt, die zeigt, dass das Konzept bei einer Skalierung auf 10 m² mit einer Amortisationszeit von rund 4,6 Jahren und einem ROI von etwa 21,5 % wirtschaftlich attraktiv ist.</w:t>
      </w:r>
    </w:p>
    <w:p w14:paraId="5EAA05D0" w14:textId="77777777" w:rsidR="00A31414" w:rsidRPr="00A31414" w:rsidRDefault="00A31414" w:rsidP="00A31414">
      <w:pPr>
        <w:spacing w:line="240" w:lineRule="auto"/>
        <w:jc w:val="both"/>
        <w:rPr>
          <w:rFonts w:eastAsia="Arial" w:cs="Arial"/>
          <w:kern w:val="0"/>
          <w:sz w:val="24"/>
          <w:szCs w:val="24"/>
          <w:lang w:eastAsia="de-AT"/>
          <w14:ligatures w14:val="none"/>
        </w:rPr>
      </w:pPr>
      <w:r w:rsidRPr="00A31414">
        <w:rPr>
          <w:rFonts w:eastAsia="Arial" w:cs="Arial"/>
          <w:kern w:val="0"/>
          <w:sz w:val="24"/>
          <w:szCs w:val="24"/>
          <w:lang w:eastAsia="de-AT"/>
          <w14:ligatures w14:val="none"/>
        </w:rPr>
        <w:t>Im Projektverlauf zeigte sich jedoch, dass die Skalierung auf ein reales 10 m² Gewächshaus ausschließlich auf theoretischer Basis erfolgte und nicht praktisch erprobt werden konnte. Eine reale Umsetzung würde voraussichtlich weitere Erkenntnisse liefern, insbesondere hinsichtlich der tatsächlichen Lastverteilung und des saisonalen Speicherverhaltens. Zudem führten Kommunikationsmissverständnisse mit dem Projektsponsor im Verlauf der Arbeit zu Verzögerungen und einer notwendigen Neuausrichtung einzelner Anforderungen. Diese Erfahrung unterstreicht, wie wichtig eine frühzeitige und präzise Abstimmung der Erwartungen und Systemgrenzen zwischen allen Projektbeteiligten ist – insbesondere bei technischen Projekten mit externen Partnern.</w:t>
      </w:r>
    </w:p>
    <w:p w14:paraId="3BADF293" w14:textId="77777777" w:rsidR="00A31414" w:rsidRPr="00A31414" w:rsidRDefault="00A31414" w:rsidP="00A31414">
      <w:pPr>
        <w:spacing w:before="200" w:after="120" w:line="240" w:lineRule="auto"/>
        <w:outlineLvl w:val="2"/>
        <w:rPr>
          <w:rFonts w:eastAsia="Arial" w:cs="Arial"/>
          <w:b/>
          <w:bCs/>
          <w:kern w:val="0"/>
          <w:sz w:val="26"/>
          <w:szCs w:val="26"/>
          <w:lang w:eastAsia="de-AT"/>
          <w14:ligatures w14:val="none"/>
        </w:rPr>
      </w:pPr>
      <w:r w:rsidRPr="00A31414">
        <w:rPr>
          <w:rFonts w:eastAsia="Arial" w:cs="Arial"/>
          <w:b/>
          <w:bCs/>
          <w:kern w:val="0"/>
          <w:sz w:val="26"/>
          <w:szCs w:val="26"/>
          <w:lang w:eastAsia="de-AT"/>
          <w14:ligatures w14:val="none"/>
        </w:rPr>
        <w:t>4.9.2 Optimierungspotenzial und Ausblick</w:t>
      </w:r>
    </w:p>
    <w:p w14:paraId="1B3FCE77" w14:textId="77777777" w:rsidR="00A31414" w:rsidRPr="00A31414" w:rsidRDefault="00A31414" w:rsidP="00A31414">
      <w:pPr>
        <w:spacing w:line="240" w:lineRule="auto"/>
        <w:jc w:val="both"/>
        <w:rPr>
          <w:rFonts w:eastAsia="Arial" w:cs="Arial"/>
          <w:kern w:val="0"/>
          <w:sz w:val="24"/>
          <w:szCs w:val="24"/>
          <w:lang w:eastAsia="de-AT"/>
          <w14:ligatures w14:val="none"/>
        </w:rPr>
      </w:pPr>
      <w:r w:rsidRPr="00A31414">
        <w:rPr>
          <w:rFonts w:eastAsia="Arial" w:cs="Arial"/>
          <w:kern w:val="0"/>
          <w:sz w:val="24"/>
          <w:szCs w:val="24"/>
          <w:lang w:eastAsia="de-AT"/>
          <w14:ligatures w14:val="none"/>
        </w:rPr>
        <w:t>Sollte ein solches System in einer realen Gewächshausanlage umgesetzt werden, ist die Standortanalyse ein entscheidender Planungsschritt. Die verfügbaren Energiequellen hängen stark von der geografischen Lage und den natürlichen Gegebenheiten ab. An windreichen Standorten kann eine Kleinwindanlage die saisonal geringere PV-Erzeugung im Winter sinnvoll ergänzen, da Windkraft überwiegend in den Wintermonaten produziert und damit die Schwachstelle der PV ausgleicht. Bei Gewächshäusern in der Nähe von Bächen oder Flüssen könnte eine Kleinstwasserkraftanlage als kontinuierliche Grundlastquelle geprüft werden, da Wasserkraft im Gegensatz zu PV und Wind weitgehend wetterunabhängig ist. Ziel der Standortplanung sollte es sein, die vorhandenen natürlichen Ressourcen so zu kombinieren, dass eine möglichst hohe Versorgungssicherheit bei gleichzeitig niedrigen Erzeugungskosten erreicht wird.</w:t>
      </w:r>
    </w:p>
    <w:p w14:paraId="79E075A2" w14:textId="77777777" w:rsidR="00A31414" w:rsidRPr="00A31414" w:rsidRDefault="00A31414" w:rsidP="00A31414">
      <w:pPr>
        <w:spacing w:line="240" w:lineRule="auto"/>
        <w:jc w:val="both"/>
        <w:rPr>
          <w:rFonts w:eastAsia="Arial" w:cs="Arial"/>
          <w:kern w:val="0"/>
          <w:sz w:val="24"/>
          <w:szCs w:val="24"/>
          <w:lang w:eastAsia="de-AT"/>
          <w14:ligatures w14:val="none"/>
        </w:rPr>
      </w:pPr>
      <w:r w:rsidRPr="00A31414">
        <w:rPr>
          <w:rFonts w:eastAsia="Arial" w:cs="Arial"/>
          <w:kern w:val="0"/>
          <w:sz w:val="24"/>
          <w:szCs w:val="24"/>
          <w:lang w:eastAsia="de-AT"/>
          <w14:ligatures w14:val="none"/>
        </w:rPr>
        <w:t xml:space="preserve">Ein weiterer naheliegender Schritt ist die Skalierung des Konzepts auf größere Gewächshausanlagen. Die in dieser Arbeit durchgeführte Wirtschaftlichkeitsanalyse zeigt, dass größere Anlagen aufgrund niedrigerer spezifischer Kosten pro kWp tendenziell wirtschaftlicher sind. Bei einer Skalierung wären jedoch nicht nur die Komponentendimensionierung anzupassen, sondern auch die Systemarchitektur neu zu bewerten – etwa hinsichtlich der Wahl zwischen 12 V, 24 V oder 48 V Systemspannung, der Anzahl der Batteriemodule sowie der Leistungsklasse des Wechselrichters. Zudem </w:t>
      </w:r>
      <w:r w:rsidRPr="00A31414">
        <w:rPr>
          <w:rFonts w:eastAsia="Arial" w:cs="Arial"/>
          <w:kern w:val="0"/>
          <w:sz w:val="24"/>
          <w:szCs w:val="24"/>
          <w:lang w:eastAsia="de-AT"/>
          <w14:ligatures w14:val="none"/>
        </w:rPr>
        <w:lastRenderedPageBreak/>
        <w:t>würde eine größere Anlage die softwareseitige Laststeuerung deutlich relevanter machen, da bei mehreren parallel betriebenen Verbrauchern eine intelligente Priorisierung auf Basis von Echtzeitdaten – etwa über die MQTT-Schnittstelle des Cerbo GX – erhebliches Einsparpotenzial bietet.</w:t>
      </w:r>
    </w:p>
    <w:p w14:paraId="70C63DCB" w14:textId="77777777" w:rsidR="00F443B6" w:rsidRPr="00A31414" w:rsidRDefault="00F443B6" w:rsidP="00A31414"/>
    <w:sectPr w:rsidR="00F443B6" w:rsidRPr="00A314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47"/>
    <w:rsid w:val="000C52CA"/>
    <w:rsid w:val="003D5647"/>
    <w:rsid w:val="00444FFB"/>
    <w:rsid w:val="00613B56"/>
    <w:rsid w:val="008668BB"/>
    <w:rsid w:val="00915858"/>
    <w:rsid w:val="00A31414"/>
    <w:rsid w:val="00C27728"/>
    <w:rsid w:val="00D317AC"/>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2C02"/>
  <w15:chartTrackingRefBased/>
  <w15:docId w15:val="{E4789B09-EF3A-4667-BDC2-2A3E0438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5858"/>
  </w:style>
  <w:style w:type="paragraph" w:styleId="berschrift1">
    <w:name w:val="heading 1"/>
    <w:basedOn w:val="Standard"/>
    <w:next w:val="Standard"/>
    <w:link w:val="berschrift1Zchn"/>
    <w:uiPriority w:val="9"/>
    <w:qFormat/>
    <w:rsid w:val="003D5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D56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D564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D564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D564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D564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D564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D564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D564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D564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D564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D564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D564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D564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D564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D564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D564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D5647"/>
    <w:rPr>
      <w:rFonts w:eastAsiaTheme="majorEastAsia" w:cstheme="majorBidi"/>
      <w:color w:val="272727" w:themeColor="text1" w:themeTint="D8"/>
    </w:rPr>
  </w:style>
  <w:style w:type="paragraph" w:styleId="Titel">
    <w:name w:val="Title"/>
    <w:basedOn w:val="Standard"/>
    <w:next w:val="Standard"/>
    <w:link w:val="TitelZchn"/>
    <w:uiPriority w:val="10"/>
    <w:qFormat/>
    <w:rsid w:val="003D5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D564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D564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D564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D564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D5647"/>
    <w:rPr>
      <w:i/>
      <w:iCs/>
      <w:color w:val="404040" w:themeColor="text1" w:themeTint="BF"/>
    </w:rPr>
  </w:style>
  <w:style w:type="paragraph" w:styleId="Listenabsatz">
    <w:name w:val="List Paragraph"/>
    <w:basedOn w:val="Standard"/>
    <w:uiPriority w:val="34"/>
    <w:qFormat/>
    <w:rsid w:val="003D5647"/>
    <w:pPr>
      <w:ind w:left="720"/>
      <w:contextualSpacing/>
    </w:pPr>
  </w:style>
  <w:style w:type="character" w:styleId="IntensiveHervorhebung">
    <w:name w:val="Intense Emphasis"/>
    <w:basedOn w:val="Absatz-Standardschriftart"/>
    <w:uiPriority w:val="21"/>
    <w:qFormat/>
    <w:rsid w:val="003D5647"/>
    <w:rPr>
      <w:i/>
      <w:iCs/>
      <w:color w:val="0F4761" w:themeColor="accent1" w:themeShade="BF"/>
    </w:rPr>
  </w:style>
  <w:style w:type="paragraph" w:styleId="IntensivesZitat">
    <w:name w:val="Intense Quote"/>
    <w:basedOn w:val="Standard"/>
    <w:next w:val="Standard"/>
    <w:link w:val="IntensivesZitatZchn"/>
    <w:uiPriority w:val="30"/>
    <w:qFormat/>
    <w:rsid w:val="003D56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D5647"/>
    <w:rPr>
      <w:i/>
      <w:iCs/>
      <w:color w:val="0F4761" w:themeColor="accent1" w:themeShade="BF"/>
    </w:rPr>
  </w:style>
  <w:style w:type="character" w:styleId="IntensiverVerweis">
    <w:name w:val="Intense Reference"/>
    <w:basedOn w:val="Absatz-Standardschriftart"/>
    <w:uiPriority w:val="32"/>
    <w:qFormat/>
    <w:rsid w:val="003D56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490</Words>
  <Characters>3092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3</cp:revision>
  <dcterms:created xsi:type="dcterms:W3CDTF">2025-12-17T09:06:00Z</dcterms:created>
  <dcterms:modified xsi:type="dcterms:W3CDTF">2026-02-22T23:58:00Z</dcterms:modified>
</cp:coreProperties>
</file>