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C4C2" w14:textId="28DA2543" w:rsidR="00925250" w:rsidRDefault="00925250" w:rsidP="00574670">
      <w:pPr>
        <w:rPr>
          <w:rFonts w:cs="Arial"/>
          <w:b/>
          <w:bCs/>
        </w:rPr>
      </w:pPr>
      <w:r w:rsidRPr="006B35D5">
        <w:rPr>
          <w:rFonts w:cs="Arial"/>
          <w:b/>
          <w:bCs/>
        </w:rPr>
        <w:t>(400 Wörter)</w:t>
      </w:r>
    </w:p>
    <w:p w14:paraId="2898D905" w14:textId="24BC6545" w:rsidR="00574670" w:rsidRPr="00925250" w:rsidRDefault="00574670" w:rsidP="00574670">
      <w:pPr>
        <w:rPr>
          <w:rFonts w:cs="Arial"/>
          <w:b/>
          <w:bCs/>
          <w:sz w:val="32"/>
          <w:szCs w:val="32"/>
        </w:rPr>
      </w:pPr>
      <w:r w:rsidRPr="00925250">
        <w:rPr>
          <w:rFonts w:cs="Arial"/>
          <w:b/>
          <w:bCs/>
          <w:sz w:val="32"/>
          <w:szCs w:val="32"/>
        </w:rPr>
        <w:t>4.3 Systemauslegung und Dimensionierung</w:t>
      </w:r>
    </w:p>
    <w:p w14:paraId="541ED290" w14:textId="77777777" w:rsidR="00925250" w:rsidRPr="00925250" w:rsidRDefault="00574670" w:rsidP="00925250">
      <w:pPr>
        <w:ind w:left="708"/>
        <w:rPr>
          <w:rFonts w:cs="Arial"/>
          <w:b/>
          <w:bCs/>
          <w:sz w:val="28"/>
          <w:szCs w:val="28"/>
        </w:rPr>
      </w:pPr>
      <w:r w:rsidRPr="00925250">
        <w:rPr>
          <w:rFonts w:cs="Arial"/>
          <w:b/>
          <w:bCs/>
          <w:sz w:val="28"/>
          <w:szCs w:val="28"/>
        </w:rPr>
        <w:t>4.3.1 Ermittlung des Energiebedarfs</w:t>
      </w:r>
    </w:p>
    <w:p w14:paraId="1B365C73" w14:textId="77777777" w:rsidR="00DC7F57" w:rsidRPr="00DC7F57" w:rsidRDefault="00DC7F57" w:rsidP="00DC7F57">
      <w:pPr>
        <w:ind w:left="708"/>
        <w:jc w:val="both"/>
        <w:rPr>
          <w:rFonts w:cs="Arial"/>
        </w:rPr>
      </w:pPr>
      <w:r w:rsidRPr="00DC7F57">
        <w:rPr>
          <w:rFonts w:cs="Arial"/>
        </w:rPr>
        <w:t>Die Dimensionierung des Energiesystems beginnt mit der genauen Erfassung aller Verbraucher und deren Leistungsaufnahme. Folgende Komponenten müssen durchgehend mit Energie versorgt werden:</w:t>
      </w:r>
    </w:p>
    <w:p w14:paraId="0F856153" w14:textId="77777777" w:rsidR="00DC7F57" w:rsidRPr="00DC7F57" w:rsidRDefault="00DC7F57" w:rsidP="00DC7F57">
      <w:pPr>
        <w:ind w:left="708"/>
        <w:rPr>
          <w:rFonts w:cs="Arial"/>
        </w:rPr>
      </w:pPr>
      <w:r w:rsidRPr="00DC7F57">
        <w:rPr>
          <w:rFonts w:cs="Arial"/>
          <w:b/>
          <w:bCs/>
        </w:rPr>
        <w:t>Steuerung und Kommunikation:</w:t>
      </w:r>
    </w:p>
    <w:p w14:paraId="0AF373D0" w14:textId="77777777" w:rsidR="00DC7F57" w:rsidRPr="00DC7F57" w:rsidRDefault="00DC7F57" w:rsidP="00DC7F57">
      <w:pPr>
        <w:numPr>
          <w:ilvl w:val="0"/>
          <w:numId w:val="1"/>
        </w:numPr>
        <w:tabs>
          <w:tab w:val="num" w:pos="720"/>
        </w:tabs>
        <w:rPr>
          <w:rFonts w:cs="Arial"/>
        </w:rPr>
      </w:pPr>
      <w:r w:rsidRPr="00DC7F57">
        <w:rPr>
          <w:rFonts w:cs="Arial"/>
        </w:rPr>
        <w:t>ESP32 Mikrocontroller: ca. 0,5W (kontinuierlich)</w:t>
      </w:r>
    </w:p>
    <w:p w14:paraId="38AEB10E" w14:textId="77777777" w:rsidR="00DC7F57" w:rsidRPr="00DC7F57" w:rsidRDefault="00DC7F57" w:rsidP="00DC7F57">
      <w:pPr>
        <w:numPr>
          <w:ilvl w:val="0"/>
          <w:numId w:val="1"/>
        </w:numPr>
        <w:tabs>
          <w:tab w:val="num" w:pos="720"/>
        </w:tabs>
        <w:rPr>
          <w:rFonts w:cs="Arial"/>
        </w:rPr>
      </w:pPr>
      <w:proofErr w:type="spellStart"/>
      <w:r w:rsidRPr="00DC7F57">
        <w:rPr>
          <w:rFonts w:cs="Arial"/>
        </w:rPr>
        <w:t>Victron</w:t>
      </w:r>
      <w:proofErr w:type="spellEnd"/>
      <w:r w:rsidRPr="00DC7F57">
        <w:rPr>
          <w:rFonts w:cs="Arial"/>
        </w:rPr>
        <w:t xml:space="preserve"> </w:t>
      </w:r>
      <w:proofErr w:type="spellStart"/>
      <w:r w:rsidRPr="00DC7F57">
        <w:rPr>
          <w:rFonts w:cs="Arial"/>
        </w:rPr>
        <w:t>Cerbo</w:t>
      </w:r>
      <w:proofErr w:type="spellEnd"/>
      <w:r w:rsidRPr="00DC7F57">
        <w:rPr>
          <w:rFonts w:cs="Arial"/>
        </w:rPr>
        <w:t xml:space="preserve"> GX: ca. 3-5W (kontinuierlich)</w:t>
      </w:r>
    </w:p>
    <w:p w14:paraId="20CB2C4C" w14:textId="77777777" w:rsidR="00DC7F57" w:rsidRPr="00DC7F57" w:rsidRDefault="00DC7F57" w:rsidP="00DC7F57">
      <w:pPr>
        <w:numPr>
          <w:ilvl w:val="0"/>
          <w:numId w:val="1"/>
        </w:numPr>
        <w:tabs>
          <w:tab w:val="num" w:pos="720"/>
        </w:tabs>
        <w:rPr>
          <w:rFonts w:cs="Arial"/>
          <w:lang w:val="en-GB"/>
        </w:rPr>
      </w:pPr>
      <w:r w:rsidRPr="00DC7F57">
        <w:rPr>
          <w:rFonts w:cs="Arial"/>
          <w:lang w:val="en-GB"/>
        </w:rPr>
        <w:t>GX Touch 50 Display: ca. 2W (</w:t>
      </w:r>
      <w:proofErr w:type="spellStart"/>
      <w:r w:rsidRPr="00DC7F57">
        <w:rPr>
          <w:rFonts w:cs="Arial"/>
          <w:lang w:val="en-GB"/>
        </w:rPr>
        <w:t>kontinuierlich</w:t>
      </w:r>
      <w:proofErr w:type="spellEnd"/>
      <w:r w:rsidRPr="00DC7F57">
        <w:rPr>
          <w:rFonts w:cs="Arial"/>
          <w:lang w:val="en-GB"/>
        </w:rPr>
        <w:t>)</w:t>
      </w:r>
    </w:p>
    <w:p w14:paraId="2D6F1AA8" w14:textId="77777777" w:rsidR="00DC7F57" w:rsidRPr="00DC7F57" w:rsidRDefault="00DC7F57" w:rsidP="00DC7F57">
      <w:pPr>
        <w:numPr>
          <w:ilvl w:val="0"/>
          <w:numId w:val="1"/>
        </w:numPr>
        <w:tabs>
          <w:tab w:val="num" w:pos="720"/>
        </w:tabs>
        <w:rPr>
          <w:rFonts w:cs="Arial"/>
        </w:rPr>
      </w:pPr>
      <w:r w:rsidRPr="00DC7F57">
        <w:rPr>
          <w:rFonts w:cs="Arial"/>
        </w:rPr>
        <w:t>WLAN-Modul und Sensoren: ca. 2W (kontinuierlich)</w:t>
      </w:r>
    </w:p>
    <w:p w14:paraId="1A5E579B" w14:textId="77777777" w:rsidR="00DC7F57" w:rsidRPr="00DC7F57" w:rsidRDefault="00DC7F57" w:rsidP="00DC7F57">
      <w:pPr>
        <w:ind w:left="708"/>
        <w:rPr>
          <w:rFonts w:cs="Arial"/>
        </w:rPr>
      </w:pPr>
      <w:r w:rsidRPr="00DC7F57">
        <w:rPr>
          <w:rFonts w:cs="Arial"/>
          <w:b/>
          <w:bCs/>
        </w:rPr>
        <w:t>Monitoring-Hardware:</w:t>
      </w:r>
    </w:p>
    <w:p w14:paraId="30538E1B" w14:textId="77777777" w:rsidR="00DC7F57" w:rsidRPr="00DC7F57" w:rsidRDefault="00DC7F57" w:rsidP="00DC7F57">
      <w:pPr>
        <w:numPr>
          <w:ilvl w:val="0"/>
          <w:numId w:val="2"/>
        </w:numPr>
        <w:tabs>
          <w:tab w:val="num" w:pos="720"/>
        </w:tabs>
        <w:rPr>
          <w:rFonts w:cs="Arial"/>
          <w:lang w:val="en-GB"/>
        </w:rPr>
      </w:pPr>
      <w:r w:rsidRPr="00DC7F57">
        <w:rPr>
          <w:rFonts w:cs="Arial"/>
          <w:lang w:val="en-GB"/>
        </w:rPr>
        <w:t xml:space="preserve">Victron </w:t>
      </w:r>
      <w:proofErr w:type="spellStart"/>
      <w:r w:rsidRPr="00DC7F57">
        <w:rPr>
          <w:rFonts w:cs="Arial"/>
          <w:lang w:val="en-GB"/>
        </w:rPr>
        <w:t>SmartShunt</w:t>
      </w:r>
      <w:proofErr w:type="spellEnd"/>
      <w:r w:rsidRPr="00DC7F57">
        <w:rPr>
          <w:rFonts w:cs="Arial"/>
          <w:lang w:val="en-GB"/>
        </w:rPr>
        <w:t>: ca. 0,1W (</w:t>
      </w:r>
      <w:proofErr w:type="spellStart"/>
      <w:r w:rsidRPr="00DC7F57">
        <w:rPr>
          <w:rFonts w:cs="Arial"/>
          <w:lang w:val="en-GB"/>
        </w:rPr>
        <w:t>kontinuierlich</w:t>
      </w:r>
      <w:proofErr w:type="spellEnd"/>
      <w:r w:rsidRPr="00DC7F57">
        <w:rPr>
          <w:rFonts w:cs="Arial"/>
          <w:lang w:val="en-GB"/>
        </w:rPr>
        <w:t>)</w:t>
      </w:r>
    </w:p>
    <w:p w14:paraId="107F6F83" w14:textId="77777777" w:rsidR="00DC7F57" w:rsidRPr="00DC7F57" w:rsidRDefault="00DC7F57" w:rsidP="00DC7F57">
      <w:pPr>
        <w:numPr>
          <w:ilvl w:val="0"/>
          <w:numId w:val="2"/>
        </w:numPr>
        <w:tabs>
          <w:tab w:val="num" w:pos="720"/>
        </w:tabs>
        <w:rPr>
          <w:rFonts w:cs="Arial"/>
          <w:lang w:val="en-GB"/>
        </w:rPr>
      </w:pPr>
      <w:r w:rsidRPr="00DC7F57">
        <w:rPr>
          <w:rFonts w:cs="Arial"/>
          <w:lang w:val="en-GB"/>
        </w:rPr>
        <w:t xml:space="preserve">Victron </w:t>
      </w:r>
      <w:proofErr w:type="spellStart"/>
      <w:r w:rsidRPr="00DC7F57">
        <w:rPr>
          <w:rFonts w:cs="Arial"/>
          <w:lang w:val="en-GB"/>
        </w:rPr>
        <w:t>MultiPlus</w:t>
      </w:r>
      <w:proofErr w:type="spellEnd"/>
      <w:r w:rsidRPr="00DC7F57">
        <w:rPr>
          <w:rFonts w:cs="Arial"/>
          <w:lang w:val="en-GB"/>
        </w:rPr>
        <w:t xml:space="preserve"> Standby: ca. 8W (</w:t>
      </w:r>
      <w:proofErr w:type="spellStart"/>
      <w:r w:rsidRPr="00DC7F57">
        <w:rPr>
          <w:rFonts w:cs="Arial"/>
          <w:lang w:val="en-GB"/>
        </w:rPr>
        <w:t>kontinuierlich</w:t>
      </w:r>
      <w:proofErr w:type="spellEnd"/>
      <w:r w:rsidRPr="00DC7F57">
        <w:rPr>
          <w:rFonts w:cs="Arial"/>
          <w:lang w:val="en-GB"/>
        </w:rPr>
        <w:t>)</w:t>
      </w:r>
    </w:p>
    <w:p w14:paraId="03E5B5EE" w14:textId="77777777" w:rsidR="00DC7F57" w:rsidRPr="00DC7F57" w:rsidRDefault="00DC7F57" w:rsidP="00DC7F57">
      <w:pPr>
        <w:ind w:left="708"/>
        <w:rPr>
          <w:rFonts w:cs="Arial"/>
        </w:rPr>
      </w:pPr>
      <w:r w:rsidRPr="00DC7F57">
        <w:rPr>
          <w:rFonts w:cs="Arial"/>
          <w:b/>
          <w:bCs/>
        </w:rPr>
        <w:t>Variable Verbraucher:</w:t>
      </w:r>
    </w:p>
    <w:p w14:paraId="1E812DED" w14:textId="77777777" w:rsidR="00DC7F57" w:rsidRPr="00DC7F57" w:rsidRDefault="00DC7F57" w:rsidP="00DC7F57">
      <w:pPr>
        <w:numPr>
          <w:ilvl w:val="0"/>
          <w:numId w:val="3"/>
        </w:numPr>
        <w:tabs>
          <w:tab w:val="num" w:pos="720"/>
        </w:tabs>
        <w:rPr>
          <w:rFonts w:cs="Arial"/>
        </w:rPr>
      </w:pPr>
      <w:r w:rsidRPr="00DC7F57">
        <w:rPr>
          <w:rFonts w:cs="Arial"/>
        </w:rPr>
        <w:t>Bewässerungspumpe: ca. 30W (2-3x täglich, je 10 Minuten)</w:t>
      </w:r>
    </w:p>
    <w:p w14:paraId="5CCB94FE" w14:textId="77777777" w:rsidR="00DC7F57" w:rsidRPr="00DC7F57" w:rsidRDefault="00DC7F57" w:rsidP="00DC7F57">
      <w:pPr>
        <w:numPr>
          <w:ilvl w:val="0"/>
          <w:numId w:val="3"/>
        </w:numPr>
        <w:tabs>
          <w:tab w:val="num" w:pos="720"/>
        </w:tabs>
        <w:rPr>
          <w:rFonts w:cs="Arial"/>
        </w:rPr>
      </w:pPr>
      <w:r w:rsidRPr="00DC7F57">
        <w:rPr>
          <w:rFonts w:cs="Arial"/>
        </w:rPr>
        <w:t>Lüftungssteuerung: ca. 15W (temperaturabhängig, durchschnittlich 4h/Tag)</w:t>
      </w:r>
    </w:p>
    <w:p w14:paraId="091FC173" w14:textId="77777777" w:rsidR="00DC7F57" w:rsidRPr="00DC7F57" w:rsidRDefault="00DC7F57" w:rsidP="00DC7F57">
      <w:pPr>
        <w:numPr>
          <w:ilvl w:val="0"/>
          <w:numId w:val="3"/>
        </w:numPr>
        <w:tabs>
          <w:tab w:val="num" w:pos="720"/>
        </w:tabs>
        <w:rPr>
          <w:rFonts w:cs="Arial"/>
        </w:rPr>
      </w:pPr>
      <w:r w:rsidRPr="00DC7F57">
        <w:rPr>
          <w:rFonts w:cs="Arial"/>
        </w:rPr>
        <w:t>Zusätzliche Sensoren: ca. 5W (kontinuierlich)</w:t>
      </w:r>
    </w:p>
    <w:p w14:paraId="224CFED8" w14:textId="77777777" w:rsidR="00DC7F57" w:rsidRPr="00DC7F57" w:rsidRDefault="00DC7F57" w:rsidP="00DC7F57">
      <w:pPr>
        <w:ind w:left="708"/>
        <w:jc w:val="both"/>
        <w:rPr>
          <w:rFonts w:cs="Arial"/>
        </w:rPr>
      </w:pPr>
      <w:r w:rsidRPr="00DC7F57">
        <w:rPr>
          <w:rFonts w:cs="Arial"/>
        </w:rPr>
        <w:t>Der kontinuierliche Grundverbrauch beträgt somit etwa 25-30W. Hochgerechnet auf 24 Stunden ergibt das einen Tagesbedarf von 600-720Wh. Die variablen Verbraucher addieren zusätzlich ca. 150-200Wh pro Tag. Der Gesamtenergiebedarf liegt damit bei etwa 800-900Wh pro Tag.</w:t>
      </w:r>
    </w:p>
    <w:p w14:paraId="7ED9626E" w14:textId="77777777" w:rsidR="00DC7F57" w:rsidRPr="00DC7F57" w:rsidRDefault="00DC7F57" w:rsidP="00DC7F57">
      <w:pPr>
        <w:ind w:left="708"/>
        <w:jc w:val="both"/>
        <w:rPr>
          <w:rFonts w:cs="Arial"/>
        </w:rPr>
      </w:pPr>
      <w:r w:rsidRPr="00DC7F57">
        <w:rPr>
          <w:rFonts w:cs="Arial"/>
        </w:rPr>
        <w:t>Für die Auslegung wird mit einem Sicherheitspuffer von 20% gerechnet, was einen Design-Energiebedarf von etwa 1080Wh (1,08kWh) pro Tag ergibt.</w:t>
      </w:r>
    </w:p>
    <w:p w14:paraId="0BBBAB6C" w14:textId="77777777" w:rsidR="00925250" w:rsidRDefault="00925250" w:rsidP="00925250">
      <w:pPr>
        <w:ind w:left="708"/>
        <w:rPr>
          <w:rFonts w:cs="Arial"/>
        </w:rPr>
      </w:pPr>
    </w:p>
    <w:p w14:paraId="74D08A59" w14:textId="77777777" w:rsidR="00925250" w:rsidRPr="00925250" w:rsidRDefault="00574670" w:rsidP="00925250">
      <w:pPr>
        <w:ind w:left="708"/>
        <w:rPr>
          <w:rFonts w:cs="Arial"/>
          <w:b/>
          <w:bCs/>
          <w:sz w:val="28"/>
          <w:szCs w:val="28"/>
        </w:rPr>
      </w:pPr>
      <w:r w:rsidRPr="00925250">
        <w:rPr>
          <w:rFonts w:cs="Arial"/>
          <w:b/>
          <w:bCs/>
          <w:sz w:val="28"/>
          <w:szCs w:val="28"/>
        </w:rPr>
        <w:t>4.3.2 Berechnung der PV-Leistung und Batteriekapazität</w:t>
      </w:r>
    </w:p>
    <w:p w14:paraId="1AADB8DE" w14:textId="77777777" w:rsidR="00DC7F57" w:rsidRPr="00DC7F57" w:rsidRDefault="00DC7F57" w:rsidP="00DC7F57">
      <w:pPr>
        <w:ind w:left="708"/>
        <w:rPr>
          <w:rFonts w:cs="Arial"/>
        </w:rPr>
      </w:pPr>
      <w:r w:rsidRPr="00DC7F57">
        <w:rPr>
          <w:rFonts w:cs="Arial"/>
          <w:b/>
          <w:bCs/>
        </w:rPr>
        <w:t>PV-Dimensionierung:</w:t>
      </w:r>
    </w:p>
    <w:p w14:paraId="1599D393" w14:textId="77777777" w:rsidR="00DC7F57" w:rsidRPr="00DC7F57" w:rsidRDefault="00DC7F57" w:rsidP="00DC7F57">
      <w:pPr>
        <w:ind w:left="708"/>
        <w:jc w:val="both"/>
        <w:rPr>
          <w:rFonts w:cs="Arial"/>
        </w:rPr>
      </w:pPr>
      <w:r w:rsidRPr="00DC7F57">
        <w:rPr>
          <w:rFonts w:cs="Arial"/>
        </w:rPr>
        <w:t>Die Auslegung des PV-Moduls muss die ungünstigsten Bedingungen im Winter berücksichtigen. In Innsbruck beträgt die durchschnittliche Sonneneinstrahlung im Dezember etwa 1-1,5 kWh/m²/Tag. Bei einem typischen Modulwirkungsgrad und unter Berücksichtigung von Verlusten durch MPPT-Regler, Kabel und suboptimaler Ausrichtung können etwa 3-4 Volllaststunden pro Tag im Winter angenommen werden.</w:t>
      </w:r>
    </w:p>
    <w:p w14:paraId="49566759" w14:textId="77777777" w:rsidR="00DC7F57" w:rsidRPr="00DC7F57" w:rsidRDefault="00DC7F57" w:rsidP="00DC7F57">
      <w:pPr>
        <w:ind w:left="708"/>
        <w:rPr>
          <w:rFonts w:cs="Arial"/>
        </w:rPr>
      </w:pPr>
      <w:r w:rsidRPr="00DC7F57">
        <w:rPr>
          <w:rFonts w:cs="Arial"/>
        </w:rPr>
        <w:t xml:space="preserve">Das 180W </w:t>
      </w:r>
      <w:proofErr w:type="spellStart"/>
      <w:r w:rsidRPr="00DC7F57">
        <w:rPr>
          <w:rFonts w:cs="Arial"/>
        </w:rPr>
        <w:t>enjoysolar</w:t>
      </w:r>
      <w:proofErr w:type="spellEnd"/>
      <w:r w:rsidRPr="00DC7F57">
        <w:rPr>
          <w:rFonts w:cs="Arial"/>
        </w:rPr>
        <w:t xml:space="preserve"> Panel liefert unter diesen Bedingungen:</w:t>
      </w:r>
    </w:p>
    <w:p w14:paraId="12C79CF9" w14:textId="77777777" w:rsidR="00DC7F57" w:rsidRPr="00DC7F57" w:rsidRDefault="00DC7F57" w:rsidP="00DC7F57">
      <w:pPr>
        <w:numPr>
          <w:ilvl w:val="0"/>
          <w:numId w:val="4"/>
        </w:numPr>
        <w:tabs>
          <w:tab w:val="clear" w:pos="1068"/>
          <w:tab w:val="num" w:pos="720"/>
        </w:tabs>
        <w:rPr>
          <w:rFonts w:cs="Arial"/>
        </w:rPr>
      </w:pPr>
      <w:r w:rsidRPr="00DC7F57">
        <w:rPr>
          <w:rFonts w:cs="Arial"/>
        </w:rPr>
        <w:t>Sommer (beste Bedingungen): 180W × 6h = 1080Wh/Tag</w:t>
      </w:r>
    </w:p>
    <w:p w14:paraId="0EDDB58E" w14:textId="77777777" w:rsidR="00DC7F57" w:rsidRPr="00DC7F57" w:rsidRDefault="00DC7F57" w:rsidP="00DC7F57">
      <w:pPr>
        <w:numPr>
          <w:ilvl w:val="0"/>
          <w:numId w:val="4"/>
        </w:numPr>
        <w:tabs>
          <w:tab w:val="clear" w:pos="1068"/>
          <w:tab w:val="num" w:pos="720"/>
        </w:tabs>
        <w:rPr>
          <w:rFonts w:cs="Arial"/>
        </w:rPr>
      </w:pPr>
      <w:r w:rsidRPr="00DC7F57">
        <w:rPr>
          <w:rFonts w:cs="Arial"/>
        </w:rPr>
        <w:t>Winter (schlechte Bedingungen): 180W × 3h = 540Wh/Tag</w:t>
      </w:r>
    </w:p>
    <w:p w14:paraId="6A8ACBCB" w14:textId="77777777" w:rsidR="00DC7F57" w:rsidRPr="00DC7F57" w:rsidRDefault="00DC7F57" w:rsidP="00DC7F57">
      <w:pPr>
        <w:numPr>
          <w:ilvl w:val="0"/>
          <w:numId w:val="4"/>
        </w:numPr>
        <w:tabs>
          <w:tab w:val="clear" w:pos="1068"/>
          <w:tab w:val="num" w:pos="720"/>
        </w:tabs>
        <w:rPr>
          <w:rFonts w:cs="Arial"/>
        </w:rPr>
      </w:pPr>
      <w:r w:rsidRPr="00DC7F57">
        <w:rPr>
          <w:rFonts w:cs="Arial"/>
        </w:rPr>
        <w:lastRenderedPageBreak/>
        <w:t>Winter bewölkt: 180W × 1,5h = 270Wh/Tag</w:t>
      </w:r>
    </w:p>
    <w:p w14:paraId="69B92853" w14:textId="77777777" w:rsidR="00DC7F57" w:rsidRPr="00DC7F57" w:rsidRDefault="00DC7F57" w:rsidP="00DC7F57">
      <w:pPr>
        <w:ind w:left="708"/>
        <w:jc w:val="both"/>
        <w:rPr>
          <w:rFonts w:cs="Arial"/>
        </w:rPr>
      </w:pPr>
      <w:r w:rsidRPr="00DC7F57">
        <w:rPr>
          <w:rFonts w:cs="Arial"/>
        </w:rPr>
        <w:t>Im Sommer wird deutlich mehr Energie produziert als verbraucht, was die Batterie vollständig lädt. Im Winter reicht die Energieerzeugung an sonnigen Tagen knapp für den Tagesbedarf, an bewölkten Tagen muss die Differenz aus der Batterie kommen.</w:t>
      </w:r>
    </w:p>
    <w:p w14:paraId="7F4CE279" w14:textId="77777777" w:rsidR="00DC7F57" w:rsidRPr="00DC7F57" w:rsidRDefault="00DC7F57" w:rsidP="00DC7F57">
      <w:pPr>
        <w:ind w:left="708"/>
        <w:rPr>
          <w:rFonts w:cs="Arial"/>
        </w:rPr>
      </w:pPr>
      <w:r w:rsidRPr="00DC7F57">
        <w:rPr>
          <w:rFonts w:cs="Arial"/>
          <w:b/>
          <w:bCs/>
        </w:rPr>
        <w:t>Batterie-Dimensionierung:</w:t>
      </w:r>
    </w:p>
    <w:p w14:paraId="4399327E" w14:textId="77777777" w:rsidR="00DC7F57" w:rsidRPr="00DC7F57" w:rsidRDefault="00DC7F57" w:rsidP="00DC7F57">
      <w:pPr>
        <w:ind w:left="708"/>
        <w:jc w:val="both"/>
        <w:rPr>
          <w:rFonts w:cs="Arial"/>
        </w:rPr>
      </w:pPr>
      <w:r w:rsidRPr="00DC7F57">
        <w:rPr>
          <w:rFonts w:cs="Arial"/>
        </w:rPr>
        <w:t xml:space="preserve">Die AGM Super Cycle Batterie mit 100Ah bei 12V hat eine Nennkapazität von 1200Wh (100Ah × 12V). Für AGM-Batterien wird empfohlen, die Entladetiefe (Depth </w:t>
      </w:r>
      <w:proofErr w:type="spellStart"/>
      <w:r w:rsidRPr="00DC7F57">
        <w:rPr>
          <w:rFonts w:cs="Arial"/>
        </w:rPr>
        <w:t>of</w:t>
      </w:r>
      <w:proofErr w:type="spellEnd"/>
      <w:r w:rsidRPr="00DC7F57">
        <w:rPr>
          <w:rFonts w:cs="Arial"/>
        </w:rPr>
        <w:t xml:space="preserve"> </w:t>
      </w:r>
      <w:proofErr w:type="spellStart"/>
      <w:r w:rsidRPr="00DC7F57">
        <w:rPr>
          <w:rFonts w:cs="Arial"/>
        </w:rPr>
        <w:t>Discharge</w:t>
      </w:r>
      <w:proofErr w:type="spellEnd"/>
      <w:r w:rsidRPr="00DC7F57">
        <w:rPr>
          <w:rFonts w:cs="Arial"/>
        </w:rPr>
        <w:t xml:space="preserve">, </w:t>
      </w:r>
      <w:proofErr w:type="spellStart"/>
      <w:r w:rsidRPr="00DC7F57">
        <w:rPr>
          <w:rFonts w:cs="Arial"/>
        </w:rPr>
        <w:t>DoD</w:t>
      </w:r>
      <w:proofErr w:type="spellEnd"/>
      <w:r w:rsidRPr="00DC7F57">
        <w:rPr>
          <w:rFonts w:cs="Arial"/>
        </w:rPr>
        <w:t>) auf maximal 50% zu begrenzen, um die Lebensdauer zu maximieren. Die nutzbare Kapazität beträgt somit 600Wh.</w:t>
      </w:r>
    </w:p>
    <w:p w14:paraId="6732F366" w14:textId="77777777" w:rsidR="00DC7F57" w:rsidRPr="00DC7F57" w:rsidRDefault="00DC7F57" w:rsidP="00DC7F57">
      <w:pPr>
        <w:ind w:left="708"/>
        <w:jc w:val="both"/>
        <w:rPr>
          <w:rFonts w:cs="Arial"/>
        </w:rPr>
      </w:pPr>
      <w:r w:rsidRPr="00DC7F57">
        <w:rPr>
          <w:rFonts w:cs="Arial"/>
        </w:rPr>
        <w:t>Bei einem Tagesbedarf von 1080Wh und einer nutzbaren Kapazität von 600Wh kann die Batterie theoretisch etwa einen halben Tag ohne Solarertrag überbrücken. Diese Auslegung ist bewusst knapp gewählt, da das System durch intelligentes Lastmanagement bei kritischem Batteriestand unkritische Verbraucher abschalten kann.</w:t>
      </w:r>
    </w:p>
    <w:p w14:paraId="19B5D32B" w14:textId="77777777" w:rsidR="00925250" w:rsidRDefault="00925250" w:rsidP="00925250">
      <w:pPr>
        <w:ind w:left="708"/>
        <w:rPr>
          <w:rFonts w:cs="Arial"/>
        </w:rPr>
      </w:pPr>
    </w:p>
    <w:p w14:paraId="58044743" w14:textId="7F5867F9" w:rsidR="00F443B6" w:rsidRPr="00925250" w:rsidRDefault="00574670" w:rsidP="00925250">
      <w:pPr>
        <w:ind w:left="708"/>
        <w:rPr>
          <w:rFonts w:cs="Arial"/>
          <w:b/>
          <w:bCs/>
          <w:sz w:val="28"/>
          <w:szCs w:val="28"/>
        </w:rPr>
      </w:pPr>
      <w:r w:rsidRPr="00925250">
        <w:rPr>
          <w:rFonts w:cs="Arial"/>
          <w:b/>
          <w:bCs/>
          <w:sz w:val="28"/>
          <w:szCs w:val="28"/>
        </w:rPr>
        <w:t xml:space="preserve">4.3.3 Autonomiezeit und </w:t>
      </w:r>
      <w:proofErr w:type="spellStart"/>
      <w:r w:rsidRPr="00925250">
        <w:rPr>
          <w:rFonts w:cs="Arial"/>
          <w:b/>
          <w:bCs/>
          <w:sz w:val="28"/>
          <w:szCs w:val="28"/>
        </w:rPr>
        <w:t>Worst</w:t>
      </w:r>
      <w:proofErr w:type="spellEnd"/>
      <w:r w:rsidRPr="00925250">
        <w:rPr>
          <w:rFonts w:cs="Arial"/>
          <w:b/>
          <w:bCs/>
          <w:sz w:val="28"/>
          <w:szCs w:val="28"/>
        </w:rPr>
        <w:t>-Case-Betrachtung</w:t>
      </w:r>
    </w:p>
    <w:p w14:paraId="6B7CECD9" w14:textId="77777777" w:rsidR="00DC7F57" w:rsidRPr="00DC7F57" w:rsidRDefault="00DC7F57" w:rsidP="00DC7F57">
      <w:pPr>
        <w:ind w:left="708"/>
        <w:jc w:val="both"/>
        <w:rPr>
          <w:rFonts w:cs="Arial"/>
        </w:rPr>
      </w:pPr>
      <w:r w:rsidRPr="00DC7F57">
        <w:rPr>
          <w:rFonts w:cs="Arial"/>
        </w:rPr>
        <w:t>Die Autonomiezeit beschreibt, wie lange das System ohne PV-Ertrag weiterlaufen kann. Bei voller Batterie (600Wh nutzbar) und reduziertem Betrieb nur der kritischen Komponenten (ca. 400Wh/Tag) ergibt sich eine Autonomiezeit von 1,5 Tagen.</w:t>
      </w:r>
    </w:p>
    <w:p w14:paraId="329742E9" w14:textId="77777777" w:rsidR="00DC7F57" w:rsidRPr="00DC7F57" w:rsidRDefault="00DC7F57" w:rsidP="00DC7F57">
      <w:pPr>
        <w:ind w:left="708"/>
        <w:jc w:val="both"/>
        <w:rPr>
          <w:rFonts w:cs="Arial"/>
        </w:rPr>
      </w:pPr>
      <w:r w:rsidRPr="00DC7F57">
        <w:rPr>
          <w:rFonts w:cs="Arial"/>
          <w:b/>
          <w:bCs/>
        </w:rPr>
        <w:t>Worst-Case-Szenario Winter:</w:t>
      </w:r>
      <w:r w:rsidRPr="00DC7F57">
        <w:rPr>
          <w:rFonts w:cs="Arial"/>
        </w:rPr>
        <w:t xml:space="preserve"> Drei aufeinanderfolgende bewölkte Tage im Dezember mit je 270Wh PV-Ertrag bei 1080Wh Verbrauch führen zu einem täglichen Defizit von 810Wh. Die Batterie würde nach dem ersten Tag bereits unter 50% fallen. Hier greift das Lastmanagement:</w:t>
      </w:r>
    </w:p>
    <w:p w14:paraId="6FEEA4B5" w14:textId="77777777" w:rsidR="00DC7F57" w:rsidRPr="00DC7F57" w:rsidRDefault="00DC7F57" w:rsidP="00DC7F57">
      <w:pPr>
        <w:numPr>
          <w:ilvl w:val="0"/>
          <w:numId w:val="5"/>
        </w:numPr>
        <w:tabs>
          <w:tab w:val="clear" w:pos="1068"/>
          <w:tab w:val="num" w:pos="720"/>
        </w:tabs>
        <w:rPr>
          <w:rFonts w:cs="Arial"/>
        </w:rPr>
      </w:pPr>
      <w:r w:rsidRPr="00DC7F57">
        <w:rPr>
          <w:rFonts w:cs="Arial"/>
        </w:rPr>
        <w:t>Tag 1: Batterie 100% → 55% (Normalbetrieb)</w:t>
      </w:r>
    </w:p>
    <w:p w14:paraId="31319935" w14:textId="77777777" w:rsidR="00DC7F57" w:rsidRPr="00DC7F57" w:rsidRDefault="00DC7F57" w:rsidP="00DC7F57">
      <w:pPr>
        <w:numPr>
          <w:ilvl w:val="0"/>
          <w:numId w:val="5"/>
        </w:numPr>
        <w:tabs>
          <w:tab w:val="clear" w:pos="1068"/>
          <w:tab w:val="num" w:pos="720"/>
        </w:tabs>
        <w:rPr>
          <w:rFonts w:cs="Arial"/>
        </w:rPr>
      </w:pPr>
      <w:r w:rsidRPr="00DC7F57">
        <w:rPr>
          <w:rFonts w:cs="Arial"/>
        </w:rPr>
        <w:t>Tag 2: Batterie 55% → Lastabwurf aktiviert, nur kritische Verbraucher (400Wh/Tag), Batterie sinkt auf 22%</w:t>
      </w:r>
    </w:p>
    <w:p w14:paraId="56CF5DFE" w14:textId="77777777" w:rsidR="00DC7F57" w:rsidRPr="00DC7F57" w:rsidRDefault="00DC7F57" w:rsidP="00DC7F57">
      <w:pPr>
        <w:numPr>
          <w:ilvl w:val="0"/>
          <w:numId w:val="5"/>
        </w:numPr>
        <w:tabs>
          <w:tab w:val="clear" w:pos="1068"/>
          <w:tab w:val="num" w:pos="720"/>
        </w:tabs>
        <w:rPr>
          <w:rFonts w:cs="Arial"/>
        </w:rPr>
      </w:pPr>
      <w:r w:rsidRPr="00DC7F57">
        <w:rPr>
          <w:rFonts w:cs="Arial"/>
        </w:rPr>
        <w:t>Tag 3: Minimalbetrieb, Batterie bei 0%</w:t>
      </w:r>
    </w:p>
    <w:p w14:paraId="6C55CE02" w14:textId="77777777" w:rsidR="00DC7F57" w:rsidRPr="00DC7F57" w:rsidRDefault="00DC7F57" w:rsidP="00DC7F57">
      <w:pPr>
        <w:ind w:left="708"/>
        <w:jc w:val="both"/>
        <w:rPr>
          <w:rFonts w:cs="Arial"/>
        </w:rPr>
      </w:pPr>
      <w:r w:rsidRPr="00DC7F57">
        <w:rPr>
          <w:rFonts w:cs="Arial"/>
        </w:rPr>
        <w:t xml:space="preserve">Das System übersteht also zwei Tage ohne ausreichenden Solarertrag im Notbetrieb. Statistisch gesehen sind drei komplett bewölkte Tage im Dezember selten, sodass diese Auslegung als akzeptabel angesehen wird. Als zusätzliche Absicherung kann im Extremfall über den integrierten Netzanschluss des </w:t>
      </w:r>
      <w:proofErr w:type="spellStart"/>
      <w:r w:rsidRPr="00DC7F57">
        <w:rPr>
          <w:rFonts w:cs="Arial"/>
        </w:rPr>
        <w:t>MultiPlus</w:t>
      </w:r>
      <w:proofErr w:type="spellEnd"/>
      <w:r w:rsidRPr="00DC7F57">
        <w:rPr>
          <w:rFonts w:cs="Arial"/>
        </w:rPr>
        <w:t xml:space="preserve"> temporär externe Energie zugeführt werden.</w:t>
      </w:r>
    </w:p>
    <w:p w14:paraId="2262E8E0" w14:textId="77777777" w:rsidR="00925250" w:rsidRPr="00925250" w:rsidRDefault="00925250" w:rsidP="00925250">
      <w:pPr>
        <w:ind w:left="708"/>
        <w:rPr>
          <w:rFonts w:cs="Arial"/>
        </w:rPr>
      </w:pPr>
    </w:p>
    <w:sectPr w:rsidR="00925250" w:rsidRPr="009252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1C8"/>
    <w:multiLevelType w:val="multilevel"/>
    <w:tmpl w:val="C2DAD5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D70094C"/>
    <w:multiLevelType w:val="multilevel"/>
    <w:tmpl w:val="A3D242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32312EE4"/>
    <w:multiLevelType w:val="multilevel"/>
    <w:tmpl w:val="2FD674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5F016763"/>
    <w:multiLevelType w:val="multilevel"/>
    <w:tmpl w:val="13A031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69681706"/>
    <w:multiLevelType w:val="multilevel"/>
    <w:tmpl w:val="FF561C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43394115">
    <w:abstractNumId w:val="4"/>
  </w:num>
  <w:num w:numId="2" w16cid:durableId="1750231723">
    <w:abstractNumId w:val="0"/>
  </w:num>
  <w:num w:numId="3" w16cid:durableId="2057772506">
    <w:abstractNumId w:val="3"/>
  </w:num>
  <w:num w:numId="4" w16cid:durableId="1129007940">
    <w:abstractNumId w:val="2"/>
  </w:num>
  <w:num w:numId="5" w16cid:durableId="185172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C6"/>
    <w:rsid w:val="000C52CA"/>
    <w:rsid w:val="002E16C6"/>
    <w:rsid w:val="00444FFB"/>
    <w:rsid w:val="00574670"/>
    <w:rsid w:val="00925250"/>
    <w:rsid w:val="00C27728"/>
    <w:rsid w:val="00D317AC"/>
    <w:rsid w:val="00DC7F57"/>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15AA"/>
  <w15:chartTrackingRefBased/>
  <w15:docId w15:val="{19127293-AFD8-47C1-ADA0-4A387D32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4670"/>
  </w:style>
  <w:style w:type="paragraph" w:styleId="berschrift1">
    <w:name w:val="heading 1"/>
    <w:basedOn w:val="Standard"/>
    <w:next w:val="Standard"/>
    <w:link w:val="berschrift1Zchn"/>
    <w:uiPriority w:val="9"/>
    <w:qFormat/>
    <w:rsid w:val="002E1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1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16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16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16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16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16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16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16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16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16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16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16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16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16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16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16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16C6"/>
    <w:rPr>
      <w:rFonts w:eastAsiaTheme="majorEastAsia" w:cstheme="majorBidi"/>
      <w:color w:val="272727" w:themeColor="text1" w:themeTint="D8"/>
    </w:rPr>
  </w:style>
  <w:style w:type="paragraph" w:styleId="Titel">
    <w:name w:val="Title"/>
    <w:basedOn w:val="Standard"/>
    <w:next w:val="Standard"/>
    <w:link w:val="TitelZchn"/>
    <w:uiPriority w:val="10"/>
    <w:qFormat/>
    <w:rsid w:val="002E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16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16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16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16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16C6"/>
    <w:rPr>
      <w:i/>
      <w:iCs/>
      <w:color w:val="404040" w:themeColor="text1" w:themeTint="BF"/>
    </w:rPr>
  </w:style>
  <w:style w:type="paragraph" w:styleId="Listenabsatz">
    <w:name w:val="List Paragraph"/>
    <w:basedOn w:val="Standard"/>
    <w:uiPriority w:val="34"/>
    <w:qFormat/>
    <w:rsid w:val="002E16C6"/>
    <w:pPr>
      <w:ind w:left="720"/>
      <w:contextualSpacing/>
    </w:pPr>
  </w:style>
  <w:style w:type="character" w:styleId="IntensiveHervorhebung">
    <w:name w:val="Intense Emphasis"/>
    <w:basedOn w:val="Absatz-Standardschriftart"/>
    <w:uiPriority w:val="21"/>
    <w:qFormat/>
    <w:rsid w:val="002E16C6"/>
    <w:rPr>
      <w:i/>
      <w:iCs/>
      <w:color w:val="0F4761" w:themeColor="accent1" w:themeShade="BF"/>
    </w:rPr>
  </w:style>
  <w:style w:type="paragraph" w:styleId="IntensivesZitat">
    <w:name w:val="Intense Quote"/>
    <w:basedOn w:val="Standard"/>
    <w:next w:val="Standard"/>
    <w:link w:val="IntensivesZitatZchn"/>
    <w:uiPriority w:val="30"/>
    <w:qFormat/>
    <w:rsid w:val="002E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16C6"/>
    <w:rPr>
      <w:i/>
      <w:iCs/>
      <w:color w:val="0F4761" w:themeColor="accent1" w:themeShade="BF"/>
    </w:rPr>
  </w:style>
  <w:style w:type="character" w:styleId="IntensiverVerweis">
    <w:name w:val="Intense Reference"/>
    <w:basedOn w:val="Absatz-Standardschriftart"/>
    <w:uiPriority w:val="32"/>
    <w:qFormat/>
    <w:rsid w:val="002E1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3322</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cp:revision>
  <dcterms:created xsi:type="dcterms:W3CDTF">2025-12-17T09:04:00Z</dcterms:created>
  <dcterms:modified xsi:type="dcterms:W3CDTF">2025-12-17T09:17:00Z</dcterms:modified>
</cp:coreProperties>
</file>