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ED15" w14:textId="4B8EFD0B" w:rsidR="00EA319E" w:rsidRDefault="00EA319E" w:rsidP="00A33A49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(400 Wörter)</w:t>
      </w:r>
    </w:p>
    <w:p w14:paraId="2D5FA652" w14:textId="6C0F1F7D" w:rsidR="00A33A49" w:rsidRPr="00EA319E" w:rsidRDefault="00A33A49" w:rsidP="00A33A49">
      <w:pPr>
        <w:rPr>
          <w:rFonts w:cs="Arial"/>
          <w:b/>
          <w:bCs/>
          <w:sz w:val="32"/>
          <w:szCs w:val="32"/>
        </w:rPr>
      </w:pPr>
      <w:r w:rsidRPr="00EA319E">
        <w:rPr>
          <w:rFonts w:cs="Arial"/>
          <w:b/>
          <w:bCs/>
          <w:sz w:val="32"/>
          <w:szCs w:val="32"/>
        </w:rPr>
        <w:t>4.5 Batterietechnologien im Vergleich</w:t>
      </w:r>
    </w:p>
    <w:p w14:paraId="3F1BF71C" w14:textId="77777777" w:rsidR="00EA319E" w:rsidRPr="00EA319E" w:rsidRDefault="00A33A49" w:rsidP="00EA319E">
      <w:pPr>
        <w:ind w:left="708"/>
        <w:rPr>
          <w:rFonts w:cs="Arial"/>
          <w:b/>
          <w:bCs/>
          <w:sz w:val="28"/>
          <w:szCs w:val="28"/>
        </w:rPr>
      </w:pPr>
      <w:r w:rsidRPr="00EA319E">
        <w:rPr>
          <w:rFonts w:cs="Arial"/>
          <w:b/>
          <w:bCs/>
          <w:sz w:val="28"/>
          <w:szCs w:val="28"/>
        </w:rPr>
        <w:t xml:space="preserve">4.5.1 AGM, Gel, Lithium-Ionen, </w:t>
      </w:r>
      <w:proofErr w:type="spellStart"/>
      <w:r w:rsidRPr="00EA319E">
        <w:rPr>
          <w:rFonts w:cs="Arial"/>
          <w:b/>
          <w:bCs/>
          <w:sz w:val="28"/>
          <w:szCs w:val="28"/>
        </w:rPr>
        <w:t>LiFePO</w:t>
      </w:r>
      <w:proofErr w:type="spellEnd"/>
    </w:p>
    <w:p w14:paraId="501DFE7D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  <w:b/>
          <w:bCs/>
        </w:rPr>
        <w:t>AGM (</w:t>
      </w:r>
      <w:proofErr w:type="spellStart"/>
      <w:r w:rsidRPr="0098031F">
        <w:rPr>
          <w:rFonts w:cs="Arial"/>
          <w:b/>
          <w:bCs/>
        </w:rPr>
        <w:t>Absorbent</w:t>
      </w:r>
      <w:proofErr w:type="spellEnd"/>
      <w:r w:rsidRPr="0098031F">
        <w:rPr>
          <w:rFonts w:cs="Arial"/>
          <w:b/>
          <w:bCs/>
        </w:rPr>
        <w:t xml:space="preserve"> Glass Mat):</w:t>
      </w:r>
      <w:r w:rsidRPr="0098031F">
        <w:rPr>
          <w:rFonts w:cs="Arial"/>
        </w:rPr>
        <w:t xml:space="preserve"> Bei AGM-Batterien ist der Elektrolyt in einem Glasfaservlies gebunden. Sie sind wartungsfrei, können in jeder Lage betrieben werden und haben einen niedrigen Innenwiderstand. Die </w:t>
      </w:r>
      <w:proofErr w:type="spellStart"/>
      <w:r w:rsidRPr="0098031F">
        <w:rPr>
          <w:rFonts w:cs="Arial"/>
        </w:rPr>
        <w:t>Zyklenfestigkeit</w:t>
      </w:r>
      <w:proofErr w:type="spellEnd"/>
      <w:r w:rsidRPr="0098031F">
        <w:rPr>
          <w:rFonts w:cs="Arial"/>
        </w:rPr>
        <w:t xml:space="preserve"> liegt bei 300-500 Zyklen (50% </w:t>
      </w:r>
      <w:proofErr w:type="spellStart"/>
      <w:r w:rsidRPr="0098031F">
        <w:rPr>
          <w:rFonts w:cs="Arial"/>
        </w:rPr>
        <w:t>DoD</w:t>
      </w:r>
      <w:proofErr w:type="spellEnd"/>
      <w:r w:rsidRPr="0098031F">
        <w:rPr>
          <w:rFonts w:cs="Arial"/>
        </w:rPr>
        <w:t>). AGM-Batterien arbeiten zuverlässig zwischen -20°C und +50°C. Der Ladewirkungsgrad beträgt etwa 85-90%. Die Selbstentladung liegt bei 1-3% pro Monat. AGM Super Cycle Varianten erreichen durch spezielle Bleilegierungen bis zu 400 Zyklen bei täglicher Entladung.</w:t>
      </w:r>
    </w:p>
    <w:p w14:paraId="29B8F15B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  <w:b/>
          <w:bCs/>
        </w:rPr>
        <w:t>Gel-Batterien:</w:t>
      </w:r>
      <w:r w:rsidRPr="0098031F">
        <w:rPr>
          <w:rFonts w:cs="Arial"/>
        </w:rPr>
        <w:t xml:space="preserve"> Der Elektrolyt ist hier als Gel gebunden, was eine noch bessere Tiefentladefestigkeit bietet. Gel-Batterien erreichen 500-800 Zyklen bei 50% </w:t>
      </w:r>
      <w:proofErr w:type="spellStart"/>
      <w:r w:rsidRPr="0098031F">
        <w:rPr>
          <w:rFonts w:cs="Arial"/>
        </w:rPr>
        <w:t>DoD</w:t>
      </w:r>
      <w:proofErr w:type="spellEnd"/>
      <w:r w:rsidRPr="0098031F">
        <w:rPr>
          <w:rFonts w:cs="Arial"/>
        </w:rPr>
        <w:t xml:space="preserve"> und vertragen Tiefentladungen besser als AGM. Sie sind jedoch empfindlicher gegenüber hohen Ladeströmen und teurer in der Anschaffung. Die Ladespannung muss präzise eingehalten werden, sonst droht irreversible Schädigung durch Gasbildung.</w:t>
      </w:r>
    </w:p>
    <w:p w14:paraId="370FF1C6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  <w:b/>
          <w:bCs/>
        </w:rPr>
        <w:t>Lithium-Ionen:</w:t>
      </w:r>
      <w:r w:rsidRPr="0098031F">
        <w:rPr>
          <w:rFonts w:cs="Arial"/>
        </w:rPr>
        <w:t xml:space="preserve"> Lithium-Ionen-Batterien bieten hohe Energiedichte (150-200 Wh/kg) und erreichen 1000-2000 Zyklen bei 80% </w:t>
      </w:r>
      <w:proofErr w:type="spellStart"/>
      <w:r w:rsidRPr="0098031F">
        <w:rPr>
          <w:rFonts w:cs="Arial"/>
        </w:rPr>
        <w:t>DoD</w:t>
      </w:r>
      <w:proofErr w:type="spellEnd"/>
      <w:r w:rsidRPr="0098031F">
        <w:rPr>
          <w:rFonts w:cs="Arial"/>
        </w:rPr>
        <w:t xml:space="preserve">. Der Ladewirkungsgrad liegt bei 95-98%. Sie sind deutlich leichter als Blei-Batterien (ca. 1/3 des Gewichts). Nachteile sind der hohe Preis, die Notwendigkeit eines </w:t>
      </w:r>
      <w:proofErr w:type="spellStart"/>
      <w:r w:rsidRPr="0098031F">
        <w:rPr>
          <w:rFonts w:cs="Arial"/>
        </w:rPr>
        <w:t>Battery</w:t>
      </w:r>
      <w:proofErr w:type="spellEnd"/>
      <w:r w:rsidRPr="0098031F">
        <w:rPr>
          <w:rFonts w:cs="Arial"/>
        </w:rPr>
        <w:t xml:space="preserve"> Management Systems (BMS) und eingeschränkte Funktion unter 0°C. Bei Überladung oder Tiefentladung besteht Brandgefahr.</w:t>
      </w:r>
    </w:p>
    <w:p w14:paraId="79BAF7DE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  <w:b/>
          <w:bCs/>
        </w:rPr>
        <w:t>LiFePO4 (Lithium-Eisenphosphat):</w:t>
      </w:r>
      <w:r w:rsidRPr="0098031F">
        <w:rPr>
          <w:rFonts w:cs="Arial"/>
        </w:rPr>
        <w:t xml:space="preserve"> LiFePO4 ist eine spezielle Lithium-Technologie mit erhöhter Sicherheit und Langlebigkeit. Sie erreicht 3000-5000 Zyklen bei 80% </w:t>
      </w:r>
      <w:proofErr w:type="spellStart"/>
      <w:r w:rsidRPr="0098031F">
        <w:rPr>
          <w:rFonts w:cs="Arial"/>
        </w:rPr>
        <w:t>DoD</w:t>
      </w:r>
      <w:proofErr w:type="spellEnd"/>
      <w:r w:rsidRPr="0098031F">
        <w:rPr>
          <w:rFonts w:cs="Arial"/>
        </w:rPr>
        <w:t xml:space="preserve"> und hat eine flache Entladekurve, was eine bessere Spannungsstabilität bedeutet. Die Energiedichte ist geringer als bei Standard-Lithium (90-120 Wh/kg), aber die thermische Stabilität deutlich höher. LiFePO4 funktioniert bis -20°C, allerdings mit reduzierter Leistung. Ein BMS ist zwingend erforderlich.</w:t>
      </w:r>
    </w:p>
    <w:p w14:paraId="0CA3EA93" w14:textId="241C3E14" w:rsidR="00EA319E" w:rsidRDefault="00EA319E" w:rsidP="00EA319E">
      <w:pPr>
        <w:ind w:left="708"/>
        <w:rPr>
          <w:rFonts w:cs="Arial"/>
        </w:rPr>
      </w:pPr>
    </w:p>
    <w:p w14:paraId="497C5CCC" w14:textId="478E7499" w:rsidR="00A33A49" w:rsidRPr="00EA319E" w:rsidRDefault="00A33A49" w:rsidP="00EA319E">
      <w:pPr>
        <w:ind w:left="708"/>
        <w:rPr>
          <w:rFonts w:cs="Arial"/>
          <w:b/>
          <w:bCs/>
          <w:sz w:val="28"/>
          <w:szCs w:val="28"/>
        </w:rPr>
      </w:pPr>
      <w:r w:rsidRPr="00EA319E">
        <w:rPr>
          <w:rFonts w:cs="Arial"/>
          <w:b/>
          <w:bCs/>
          <w:sz w:val="28"/>
          <w:szCs w:val="28"/>
        </w:rPr>
        <w:t>4 4.5.2 Gegenüberstellung und Auswahlbegründung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507"/>
        <w:gridCol w:w="1507"/>
        <w:gridCol w:w="1464"/>
        <w:gridCol w:w="1705"/>
      </w:tblGrid>
      <w:tr w:rsidR="0098031F" w:rsidRPr="0098031F" w14:paraId="5FC94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52397" w14:textId="77777777" w:rsidR="0098031F" w:rsidRPr="0098031F" w:rsidRDefault="0098031F" w:rsidP="0098031F">
            <w:pPr>
              <w:ind w:left="708"/>
              <w:rPr>
                <w:rFonts w:cs="Arial"/>
                <w:b/>
                <w:bCs/>
              </w:rPr>
            </w:pPr>
            <w:r w:rsidRPr="0098031F">
              <w:rPr>
                <w:rFonts w:cs="Arial"/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0B234255" w14:textId="77777777" w:rsidR="0098031F" w:rsidRPr="0098031F" w:rsidRDefault="0098031F" w:rsidP="0098031F">
            <w:pPr>
              <w:ind w:left="708"/>
              <w:rPr>
                <w:rFonts w:cs="Arial"/>
                <w:b/>
                <w:bCs/>
              </w:rPr>
            </w:pPr>
            <w:r w:rsidRPr="0098031F">
              <w:rPr>
                <w:rFonts w:cs="Arial"/>
                <w:b/>
                <w:bCs/>
              </w:rPr>
              <w:t>AGM</w:t>
            </w:r>
          </w:p>
        </w:tc>
        <w:tc>
          <w:tcPr>
            <w:tcW w:w="0" w:type="auto"/>
            <w:vAlign w:val="center"/>
            <w:hideMark/>
          </w:tcPr>
          <w:p w14:paraId="62B46EA0" w14:textId="77777777" w:rsidR="0098031F" w:rsidRPr="0098031F" w:rsidRDefault="0098031F" w:rsidP="0098031F">
            <w:pPr>
              <w:ind w:left="708"/>
              <w:rPr>
                <w:rFonts w:cs="Arial"/>
                <w:b/>
                <w:bCs/>
              </w:rPr>
            </w:pPr>
            <w:r w:rsidRPr="0098031F">
              <w:rPr>
                <w:rFonts w:cs="Arial"/>
                <w:b/>
                <w:bCs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3F04CF5C" w14:textId="77777777" w:rsidR="0098031F" w:rsidRPr="0098031F" w:rsidRDefault="0098031F" w:rsidP="0098031F">
            <w:pPr>
              <w:ind w:left="708"/>
              <w:rPr>
                <w:rFonts w:cs="Arial"/>
                <w:b/>
                <w:bCs/>
              </w:rPr>
            </w:pPr>
            <w:r w:rsidRPr="0098031F">
              <w:rPr>
                <w:rFonts w:cs="Arial"/>
                <w:b/>
                <w:bCs/>
              </w:rPr>
              <w:t>Li-Ion</w:t>
            </w:r>
          </w:p>
        </w:tc>
        <w:tc>
          <w:tcPr>
            <w:tcW w:w="0" w:type="auto"/>
            <w:vAlign w:val="center"/>
            <w:hideMark/>
          </w:tcPr>
          <w:p w14:paraId="3693D117" w14:textId="77777777" w:rsidR="0098031F" w:rsidRPr="0098031F" w:rsidRDefault="0098031F" w:rsidP="0098031F">
            <w:pPr>
              <w:ind w:left="708"/>
              <w:rPr>
                <w:rFonts w:cs="Arial"/>
                <w:b/>
                <w:bCs/>
              </w:rPr>
            </w:pPr>
            <w:r w:rsidRPr="0098031F">
              <w:rPr>
                <w:rFonts w:cs="Arial"/>
                <w:b/>
                <w:bCs/>
              </w:rPr>
              <w:t>LiFePO4</w:t>
            </w:r>
          </w:p>
        </w:tc>
      </w:tr>
      <w:tr w:rsidR="0098031F" w:rsidRPr="0098031F" w14:paraId="1475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B406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Anschaffungskosten (100Ah)</w:t>
            </w:r>
          </w:p>
        </w:tc>
        <w:tc>
          <w:tcPr>
            <w:tcW w:w="0" w:type="auto"/>
            <w:vAlign w:val="center"/>
            <w:hideMark/>
          </w:tcPr>
          <w:p w14:paraId="401C24EB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200€</w:t>
            </w:r>
          </w:p>
        </w:tc>
        <w:tc>
          <w:tcPr>
            <w:tcW w:w="0" w:type="auto"/>
            <w:vAlign w:val="center"/>
            <w:hideMark/>
          </w:tcPr>
          <w:p w14:paraId="12C123F0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280€</w:t>
            </w:r>
          </w:p>
        </w:tc>
        <w:tc>
          <w:tcPr>
            <w:tcW w:w="0" w:type="auto"/>
            <w:vAlign w:val="center"/>
            <w:hideMark/>
          </w:tcPr>
          <w:p w14:paraId="168C7C7E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600€</w:t>
            </w:r>
          </w:p>
        </w:tc>
        <w:tc>
          <w:tcPr>
            <w:tcW w:w="0" w:type="auto"/>
            <w:vAlign w:val="center"/>
            <w:hideMark/>
          </w:tcPr>
          <w:p w14:paraId="26909A22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500€</w:t>
            </w:r>
          </w:p>
        </w:tc>
      </w:tr>
      <w:tr w:rsidR="0098031F" w:rsidRPr="0098031F" w14:paraId="2ABE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1C84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 xml:space="preserve">Zyklen (50/80% </w:t>
            </w:r>
            <w:proofErr w:type="spellStart"/>
            <w:r w:rsidRPr="0098031F">
              <w:rPr>
                <w:rFonts w:cs="Arial"/>
              </w:rPr>
              <w:t>DoD</w:t>
            </w:r>
            <w:proofErr w:type="spellEnd"/>
            <w:r w:rsidRPr="0098031F">
              <w:rPr>
                <w:rFonts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89E96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F98C7E5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3396925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0C8378D3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3500</w:t>
            </w:r>
          </w:p>
        </w:tc>
      </w:tr>
      <w:tr w:rsidR="0098031F" w:rsidRPr="0098031F" w14:paraId="566E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6E1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Nutzbare Kapazität</w:t>
            </w:r>
          </w:p>
        </w:tc>
        <w:tc>
          <w:tcPr>
            <w:tcW w:w="0" w:type="auto"/>
            <w:vAlign w:val="center"/>
            <w:hideMark/>
          </w:tcPr>
          <w:p w14:paraId="31AA2FC3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8F72693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C8FD454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64D18F2D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80%</w:t>
            </w:r>
          </w:p>
        </w:tc>
      </w:tr>
      <w:tr w:rsidR="0098031F" w:rsidRPr="0098031F" w14:paraId="78D3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0C0C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Gewicht (100Ah)</w:t>
            </w:r>
          </w:p>
        </w:tc>
        <w:tc>
          <w:tcPr>
            <w:tcW w:w="0" w:type="auto"/>
            <w:vAlign w:val="center"/>
            <w:hideMark/>
          </w:tcPr>
          <w:p w14:paraId="272B2BDC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28kg</w:t>
            </w:r>
          </w:p>
        </w:tc>
        <w:tc>
          <w:tcPr>
            <w:tcW w:w="0" w:type="auto"/>
            <w:vAlign w:val="center"/>
            <w:hideMark/>
          </w:tcPr>
          <w:p w14:paraId="3E3E685F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30kg</w:t>
            </w:r>
          </w:p>
        </w:tc>
        <w:tc>
          <w:tcPr>
            <w:tcW w:w="0" w:type="auto"/>
            <w:vAlign w:val="center"/>
            <w:hideMark/>
          </w:tcPr>
          <w:p w14:paraId="7B36C8FE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10kg</w:t>
            </w:r>
          </w:p>
        </w:tc>
        <w:tc>
          <w:tcPr>
            <w:tcW w:w="0" w:type="auto"/>
            <w:vAlign w:val="center"/>
            <w:hideMark/>
          </w:tcPr>
          <w:p w14:paraId="7FC9B939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12kg</w:t>
            </w:r>
          </w:p>
        </w:tc>
      </w:tr>
      <w:tr w:rsidR="0098031F" w:rsidRPr="0098031F" w14:paraId="186E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7983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Temperaturbereich</w:t>
            </w:r>
          </w:p>
        </w:tc>
        <w:tc>
          <w:tcPr>
            <w:tcW w:w="0" w:type="auto"/>
            <w:vAlign w:val="center"/>
            <w:hideMark/>
          </w:tcPr>
          <w:p w14:paraId="410F91D9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-20 bis +50°C</w:t>
            </w:r>
          </w:p>
        </w:tc>
        <w:tc>
          <w:tcPr>
            <w:tcW w:w="0" w:type="auto"/>
            <w:vAlign w:val="center"/>
            <w:hideMark/>
          </w:tcPr>
          <w:p w14:paraId="0D5B0408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-20 bis +50°C</w:t>
            </w:r>
          </w:p>
        </w:tc>
        <w:tc>
          <w:tcPr>
            <w:tcW w:w="0" w:type="auto"/>
            <w:vAlign w:val="center"/>
            <w:hideMark/>
          </w:tcPr>
          <w:p w14:paraId="77B66458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0 bis +45°C</w:t>
            </w:r>
          </w:p>
        </w:tc>
        <w:tc>
          <w:tcPr>
            <w:tcW w:w="0" w:type="auto"/>
            <w:vAlign w:val="center"/>
            <w:hideMark/>
          </w:tcPr>
          <w:p w14:paraId="2B348213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-20 bis +55°C</w:t>
            </w:r>
          </w:p>
        </w:tc>
      </w:tr>
      <w:tr w:rsidR="0098031F" w:rsidRPr="0098031F" w14:paraId="04B2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1A5A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BMS erforderlich</w:t>
            </w:r>
          </w:p>
        </w:tc>
        <w:tc>
          <w:tcPr>
            <w:tcW w:w="0" w:type="auto"/>
            <w:vAlign w:val="center"/>
            <w:hideMark/>
          </w:tcPr>
          <w:p w14:paraId="47A7D4AC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0C96AC92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0B67079A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0A9B5905" w14:textId="77777777" w:rsidR="0098031F" w:rsidRPr="0098031F" w:rsidRDefault="0098031F" w:rsidP="0098031F">
            <w:pPr>
              <w:ind w:left="708"/>
              <w:rPr>
                <w:rFonts w:cs="Arial"/>
              </w:rPr>
            </w:pPr>
            <w:r w:rsidRPr="0098031F">
              <w:rPr>
                <w:rFonts w:cs="Arial"/>
              </w:rPr>
              <w:t>Ja</w:t>
            </w:r>
          </w:p>
        </w:tc>
      </w:tr>
    </w:tbl>
    <w:p w14:paraId="4231E438" w14:textId="77777777" w:rsidR="0098031F" w:rsidRDefault="0098031F" w:rsidP="0098031F">
      <w:pPr>
        <w:ind w:left="708"/>
        <w:rPr>
          <w:rFonts w:cs="Arial"/>
          <w:b/>
          <w:bCs/>
        </w:rPr>
      </w:pPr>
    </w:p>
    <w:p w14:paraId="586A660C" w14:textId="59B65042" w:rsidR="0098031F" w:rsidRPr="0098031F" w:rsidRDefault="0098031F" w:rsidP="0098031F">
      <w:pPr>
        <w:ind w:left="708"/>
        <w:rPr>
          <w:rFonts w:cs="Arial"/>
        </w:rPr>
      </w:pPr>
      <w:r w:rsidRPr="0098031F">
        <w:rPr>
          <w:rFonts w:cs="Arial"/>
          <w:b/>
          <w:bCs/>
        </w:rPr>
        <w:lastRenderedPageBreak/>
        <w:t>Auswahlbegründung AGM Super Cycle:</w:t>
      </w:r>
    </w:p>
    <w:p w14:paraId="04D9C98F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</w:rPr>
        <w:t>Für den Prototypen wurde die AGM Super Cycle Batterie gewählt, da sie für ein Demonstrationssystem im Rahmen einer Diplomarbeit das beste Preis-Leistungs-Verhältnis bietet. Mit 200€ Anschaffungskosten ist sie deutlich günstiger als Lithium-Technologien. Für den 0,7m² Prototypen spielt das höhere Gewicht keine Rolle, da die Batterie stationär im Schaltschrank montiert wird.</w:t>
      </w:r>
    </w:p>
    <w:p w14:paraId="32161558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</w:rPr>
        <w:t xml:space="preserve">Die geringere </w:t>
      </w:r>
      <w:proofErr w:type="spellStart"/>
      <w:r w:rsidRPr="0098031F">
        <w:rPr>
          <w:rFonts w:cs="Arial"/>
        </w:rPr>
        <w:t>Zyklenfestigkeit</w:t>
      </w:r>
      <w:proofErr w:type="spellEnd"/>
      <w:r w:rsidRPr="0098031F">
        <w:rPr>
          <w:rFonts w:cs="Arial"/>
        </w:rPr>
        <w:t xml:space="preserve"> (400 vs. 3500 bei LiFePO4) ist für einen Demonstrationsbetrieb von 1-2 Jahren während der Projektlaufzeit akzeptabel. AGM-Batterien benötigen kein BMS, was die Systemkomplexität reduziert und die Integration mit den </w:t>
      </w:r>
      <w:proofErr w:type="spellStart"/>
      <w:r w:rsidRPr="0098031F">
        <w:rPr>
          <w:rFonts w:cs="Arial"/>
        </w:rPr>
        <w:t>Victron</w:t>
      </w:r>
      <w:proofErr w:type="spellEnd"/>
      <w:r w:rsidRPr="0098031F">
        <w:rPr>
          <w:rFonts w:cs="Arial"/>
        </w:rPr>
        <w:t>-Komponenten vereinfacht.</w:t>
      </w:r>
    </w:p>
    <w:p w14:paraId="143D92C2" w14:textId="77777777" w:rsidR="0098031F" w:rsidRPr="0098031F" w:rsidRDefault="0098031F" w:rsidP="0098031F">
      <w:pPr>
        <w:ind w:left="708"/>
        <w:jc w:val="both"/>
        <w:rPr>
          <w:rFonts w:cs="Arial"/>
        </w:rPr>
      </w:pPr>
      <w:r w:rsidRPr="0098031F">
        <w:rPr>
          <w:rFonts w:cs="Arial"/>
        </w:rPr>
        <w:t xml:space="preserve">Für eine kommerzielle 10m² Gewächshausanlage mit geplanter Betriebsdauer von 10+ Jahren wäre LiFePO4 aufgrund der deutlich höheren </w:t>
      </w:r>
      <w:proofErr w:type="spellStart"/>
      <w:r w:rsidRPr="0098031F">
        <w:rPr>
          <w:rFonts w:cs="Arial"/>
        </w:rPr>
        <w:t>Zyklenfestigkeit</w:t>
      </w:r>
      <w:proofErr w:type="spellEnd"/>
      <w:r w:rsidRPr="0098031F">
        <w:rPr>
          <w:rFonts w:cs="Arial"/>
        </w:rPr>
        <w:t xml:space="preserve"> und nutzbaren Kapazität wirtschaftlich sinnvoller. Die höheren Anschaffungskosten würden sich durch die längere Lebensdauer amortisieren. Diese wirtschaftliche Betrachtung wird in Kapitel 4.8 detailliert durchgeführt.</w:t>
      </w:r>
    </w:p>
    <w:p w14:paraId="3A60D904" w14:textId="77777777" w:rsidR="00EA319E" w:rsidRDefault="00EA319E" w:rsidP="00EA319E">
      <w:pPr>
        <w:ind w:left="708"/>
        <w:rPr>
          <w:rFonts w:cs="Arial"/>
        </w:rPr>
      </w:pPr>
    </w:p>
    <w:sectPr w:rsidR="00EA31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31"/>
    <w:rsid w:val="000C52CA"/>
    <w:rsid w:val="00444FFB"/>
    <w:rsid w:val="007E7E31"/>
    <w:rsid w:val="0098031F"/>
    <w:rsid w:val="00A33A49"/>
    <w:rsid w:val="00C27728"/>
    <w:rsid w:val="00D317AC"/>
    <w:rsid w:val="00EA319E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2F23"/>
  <w15:chartTrackingRefBased/>
  <w15:docId w15:val="{B131BF62-9816-4315-8361-E0BC02B0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3A49"/>
  </w:style>
  <w:style w:type="paragraph" w:styleId="berschrift1">
    <w:name w:val="heading 1"/>
    <w:basedOn w:val="Standard"/>
    <w:next w:val="Standard"/>
    <w:link w:val="berschrift1Zchn"/>
    <w:uiPriority w:val="9"/>
    <w:qFormat/>
    <w:rsid w:val="007E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7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7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7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7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7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7E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7E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7E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7E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7E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7E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7E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7E3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7E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7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7E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7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4</cp:revision>
  <dcterms:created xsi:type="dcterms:W3CDTF">2025-12-17T09:04:00Z</dcterms:created>
  <dcterms:modified xsi:type="dcterms:W3CDTF">2025-12-17T09:24:00Z</dcterms:modified>
</cp:coreProperties>
</file>