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08A4" w14:textId="3D2F37C8" w:rsidR="00B36B76" w:rsidRPr="00CD1E0D" w:rsidRDefault="00E0201B" w:rsidP="00246914">
      <w:pPr>
        <w:jc w:val="both"/>
        <w:rPr>
          <w:rFonts w:cs="Arial"/>
          <w:b/>
          <w:bCs/>
          <w:sz w:val="32"/>
          <w:szCs w:val="32"/>
        </w:rPr>
      </w:pPr>
      <w:bookmarkStart w:id="0" w:name="_Hlk220424468"/>
      <w:r w:rsidRPr="00B36B76">
        <w:rPr>
          <w:rFonts w:cs="Arial"/>
          <w:b/>
          <w:bCs/>
          <w:sz w:val="32"/>
          <w:szCs w:val="32"/>
        </w:rPr>
        <w:t xml:space="preserve">4.2 Grundlagen </w:t>
      </w:r>
      <w:r w:rsidR="00CD1E0D" w:rsidRPr="00B36B76">
        <w:rPr>
          <w:rFonts w:cs="Arial"/>
          <w:b/>
          <w:bCs/>
          <w:sz w:val="32"/>
          <w:szCs w:val="32"/>
        </w:rPr>
        <w:t>photovoltai</w:t>
      </w:r>
      <w:r w:rsidR="00CD1E0D">
        <w:rPr>
          <w:rFonts w:cs="Arial"/>
          <w:b/>
          <w:bCs/>
          <w:sz w:val="32"/>
          <w:szCs w:val="32"/>
        </w:rPr>
        <w:t>sc</w:t>
      </w:r>
      <w:r w:rsidR="00CD1E0D" w:rsidRPr="00B36B76">
        <w:rPr>
          <w:rFonts w:cs="Arial"/>
          <w:b/>
          <w:bCs/>
          <w:sz w:val="32"/>
          <w:szCs w:val="32"/>
        </w:rPr>
        <w:t>her</w:t>
      </w:r>
      <w:r w:rsidRPr="00B36B76">
        <w:rPr>
          <w:rFonts w:cs="Arial"/>
          <w:b/>
          <w:bCs/>
          <w:sz w:val="32"/>
          <w:szCs w:val="32"/>
        </w:rPr>
        <w:t xml:space="preserve"> Energieversorgung</w:t>
      </w:r>
    </w:p>
    <w:p w14:paraId="1578DD90" w14:textId="62450783" w:rsidR="006A4CB1" w:rsidRPr="006A4CB1" w:rsidRDefault="006A4CB1" w:rsidP="00246914">
      <w:pPr>
        <w:ind w:left="708"/>
        <w:jc w:val="both"/>
        <w:rPr>
          <w:rFonts w:cs="Arial"/>
        </w:rPr>
      </w:pPr>
      <w:r w:rsidRPr="006A4CB1">
        <w:rPr>
          <w:rFonts w:cs="Arial"/>
        </w:rPr>
        <w:t>In diesem Kapitel werden die Grundlagen der photovoltaischen Energieversorgung erläutert. Der Fokus liegt dabei auf dem Betriebsverhalten von PV-Modulen sowie auf äußeren Einflüssen wie Wetter und Jahreszeit.</w:t>
      </w:r>
    </w:p>
    <w:p w14:paraId="070ED807" w14:textId="0E9C1907" w:rsidR="00B36B76" w:rsidRPr="00B36B76" w:rsidRDefault="00E0201B" w:rsidP="00246914">
      <w:pPr>
        <w:ind w:left="708"/>
        <w:jc w:val="both"/>
        <w:rPr>
          <w:rFonts w:cs="Arial"/>
          <w:b/>
          <w:bCs/>
          <w:sz w:val="28"/>
          <w:szCs w:val="28"/>
        </w:rPr>
      </w:pPr>
      <w:r w:rsidRPr="00B36B76">
        <w:rPr>
          <w:rFonts w:cs="Arial"/>
          <w:b/>
          <w:bCs/>
          <w:sz w:val="28"/>
          <w:szCs w:val="28"/>
        </w:rPr>
        <w:t>4.2.</w:t>
      </w:r>
      <w:r w:rsidR="00CD1E0D">
        <w:rPr>
          <w:rFonts w:cs="Arial"/>
          <w:b/>
          <w:bCs/>
          <w:sz w:val="28"/>
          <w:szCs w:val="28"/>
        </w:rPr>
        <w:t>1</w:t>
      </w:r>
      <w:r w:rsidRPr="00B36B76">
        <w:rPr>
          <w:rFonts w:cs="Arial"/>
          <w:b/>
          <w:bCs/>
          <w:sz w:val="28"/>
          <w:szCs w:val="28"/>
        </w:rPr>
        <w:t xml:space="preserve"> Kennlinien und Maximum Power Point Tracking</w:t>
      </w:r>
    </w:p>
    <w:p w14:paraId="1CC2CB74" w14:textId="5C676023" w:rsidR="00AF4F0F" w:rsidRPr="008B24F8" w:rsidRDefault="00AF4F0F" w:rsidP="00AF4F0F">
      <w:pPr>
        <w:ind w:left="708"/>
        <w:jc w:val="both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FD8F5A" wp14:editId="101A64C6">
                <wp:simplePos x="0" y="0"/>
                <wp:positionH relativeFrom="margin">
                  <wp:align>right</wp:align>
                </wp:positionH>
                <wp:positionV relativeFrom="paragraph">
                  <wp:posOffset>5031740</wp:posOffset>
                </wp:positionV>
                <wp:extent cx="5309235" cy="146050"/>
                <wp:effectExtent l="0" t="0" r="5715" b="6350"/>
                <wp:wrapTopAndBottom/>
                <wp:docPr id="201084780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35" cy="14630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29D826" w14:textId="236E21CC" w:rsidR="00AF4F0F" w:rsidRPr="00BB40B2" w:rsidRDefault="00AF4F0F" w:rsidP="00AF4F0F">
                            <w:pPr>
                              <w:pStyle w:val="Beschriftung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I-U-Kennlinie einer Solarzelle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D8F5A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366.85pt;margin-top:396.2pt;width:418.05pt;height:11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" stroked="f">
                <v:textbox inset="0,0,0,0">
                  <w:txbxContent>
                    <w:p w14:paraId="6729D826" w14:textId="236E21CC" w:rsidR="00AF4F0F" w:rsidRPr="00BB40B2" w:rsidRDefault="00AF4F0F" w:rsidP="00AF4F0F">
                      <w:pPr>
                        <w:pStyle w:val="Beschriftung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I-U-Kennlinie einer Solarzelle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CC17C9E" wp14:editId="43824692">
            <wp:simplePos x="0" y="0"/>
            <wp:positionH relativeFrom="margin">
              <wp:posOffset>0</wp:posOffset>
            </wp:positionH>
            <wp:positionV relativeFrom="paragraph">
              <wp:posOffset>1042289</wp:posOffset>
            </wp:positionV>
            <wp:extent cx="5760720" cy="3932555"/>
            <wp:effectExtent l="0" t="0" r="0" b="0"/>
            <wp:wrapTopAndBottom/>
            <wp:docPr id="2004018778" name="Grafik 1" descr="Hier sehen Sie ein Strom-Spannungsdiagramm und Darstellung des Solarmoduls als Diodenkennli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er sehen Sie ein Strom-Spannungsdiagramm und Darstellung des Solarmoduls als Diodenkennli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4CB1" w:rsidRPr="00470185">
        <w:rPr>
          <w:rFonts w:cs="Arial"/>
        </w:rPr>
        <w:t xml:space="preserve">Die Leistung einer Solarzelle ist nicht konstant, sondern hängt von der Spannung ab, bei der sie betrieben wird. Diese Abhängigkeit wird in der I-U-Kennlinie (Strom-Spannungs-Kennlinie) dargestellt (siehe Abb. </w:t>
      </w:r>
      <w:r w:rsidR="00923AF3">
        <w:rPr>
          <w:rFonts w:cs="Arial"/>
        </w:rPr>
        <w:t>1</w:t>
      </w:r>
      <w:r w:rsidR="006A4CB1" w:rsidRPr="00470185">
        <w:rPr>
          <w:rFonts w:cs="Arial"/>
        </w:rPr>
        <w:t>). Dabei zeigt sich, dass es einen optimalen Arbeitspunkt gibt, an dem das Produkt aus Spannung und Strom – also die Leistung – maximal ist. Dieser Punkt wird als Maximum Power Point (MPP) bezeichnet.</w:t>
      </w:r>
    </w:p>
    <w:p w14:paraId="6F38FF54" w14:textId="03F5CC1B" w:rsidR="00C0397B" w:rsidRPr="00470185" w:rsidRDefault="00923AF3" w:rsidP="006A4CB1">
      <w:pPr>
        <w:ind w:left="708"/>
        <w:jc w:val="both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{"citationID":"KaoxRatg","properties":{"formattedCitation":"[1]","plainCitation":"[1]","noteIndex":0},"citationItems":[{"id":11,"uris":["http://zotero.org/groups/6046789/items/42IJGQWP"],"itemData":{"id":11,"type":"webpage","abstract":"Die Strom-Spannungs-Kennlinie gibt das Verhältnis von Zellstrom zu Zellspannung wider, sie wird deshalb auch I-U-Kennlinie genannt.","container-title":"Photovoltaik.org","language":"de","title":"Bedeutung der Photovoltaik-Kennlinie","URL":"https://photovoltaik.org/solarstrom/elektro/kennlinie","author":[{"family":"Photovoltaik.org","given":""}],"accessed":{"date-parts":[["2026",1,27]]}}}],"schema":"https://github.com/citation-style-language/schema/raw/master/csl-citation.json"}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923AF3">
        <w:rPr>
          <w:rFonts w:ascii="Aptos" w:hAnsi="Aptos"/>
        </w:rPr>
        <w:t>[1]</w:t>
      </w:r>
      <w:r>
        <w:rPr>
          <w:rFonts w:cs="Arial"/>
        </w:rPr>
        <w:fldChar w:fldCharType="end"/>
      </w:r>
    </w:p>
    <w:bookmarkEnd w:id="0"/>
    <w:p w14:paraId="1D68E3E9" w14:textId="7B96D55B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</w:rPr>
        <w:t xml:space="preserve">Der MPP verändert sich ständig je nach Sonneneinstrahlung, Temperatur und Verschattung. Bei </w:t>
      </w:r>
      <w:r w:rsidR="006F1CD2">
        <w:rPr>
          <w:rFonts w:cs="Arial"/>
        </w:rPr>
        <w:t>direkter</w:t>
      </w:r>
      <w:r w:rsidRPr="00470185">
        <w:rPr>
          <w:rFonts w:cs="Arial"/>
        </w:rPr>
        <w:t xml:space="preserve"> Sonne</w:t>
      </w:r>
      <w:r w:rsidR="006F1CD2">
        <w:rPr>
          <w:rFonts w:cs="Arial"/>
        </w:rPr>
        <w:t>neinstrahlung</w:t>
      </w:r>
      <w:r w:rsidRPr="00470185">
        <w:rPr>
          <w:rFonts w:cs="Arial"/>
        </w:rPr>
        <w:t xml:space="preserve"> liegt er an einem anderen Punkt als bei bewölktem Himmel. Außerdem sinkt die optimale Spannung, wenn die Temperatur der Module steigt.</w:t>
      </w:r>
    </w:p>
    <w:p w14:paraId="5BFC169E" w14:textId="77777777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</w:rPr>
        <w:t>Hier kommt das Maximum Power Point Tracking (MPPT) ins Spiel. Ein MPPT-Regler überwacht kontinuierlich die Spannung und den Strom des PV-Moduls und passt seinen Eingangswiderstand dynamisch an, indem er das Tastverhältnis seines internen DC-DC-Wandlers variiert [1]. Praktisch bedeutet das: Der MPPT-Regler „sucht" ständig nach dem Punkt mit der höchsten Leistung und stellt seine Schaltregler-Elektronik entsprechend ein, um immer am MPP zu arbeiten.</w:t>
      </w:r>
    </w:p>
    <w:p w14:paraId="70FC9558" w14:textId="77777777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</w:rPr>
        <w:lastRenderedPageBreak/>
        <w:t xml:space="preserve">Der im Projekt verwendete </w:t>
      </w:r>
      <w:proofErr w:type="spellStart"/>
      <w:r w:rsidRPr="00470185">
        <w:rPr>
          <w:rFonts w:cs="Arial"/>
        </w:rPr>
        <w:t>Victron</w:t>
      </w:r>
      <w:proofErr w:type="spellEnd"/>
      <w:r w:rsidRPr="00470185">
        <w:rPr>
          <w:rFonts w:cs="Arial"/>
        </w:rPr>
        <w:t xml:space="preserve"> MultiPlus hat einen integrierten MPPT-Laderegler, der diese Aufgabe übernimmt. Dadurch kann bis zu 30% mehr Energie aus dem PV-Modul gewonnen werden im Vergleich zu einem einfachen Laderegler ohne MPPT-Funktion [1].</w:t>
      </w:r>
    </w:p>
    <w:p w14:paraId="4C156697" w14:textId="77777777" w:rsidR="004532AA" w:rsidRDefault="004532AA" w:rsidP="004532AA">
      <w:pPr>
        <w:ind w:left="708"/>
        <w:jc w:val="both"/>
        <w:rPr>
          <w:rFonts w:cs="Arial"/>
        </w:rPr>
      </w:pPr>
    </w:p>
    <w:p w14:paraId="4E9BAF42" w14:textId="5DD4E9AC" w:rsidR="004532AA" w:rsidRPr="004532AA" w:rsidRDefault="004532AA" w:rsidP="004532AA">
      <w:pPr>
        <w:ind w:left="708"/>
        <w:jc w:val="both"/>
        <w:rPr>
          <w:rFonts w:cs="Arial"/>
          <w:sz w:val="28"/>
          <w:szCs w:val="28"/>
        </w:rPr>
      </w:pPr>
      <w:r w:rsidRPr="004532AA">
        <w:rPr>
          <w:rFonts w:eastAsia="Times New Roman" w:cs="Times New Roman"/>
          <w:b/>
          <w:bCs/>
          <w:kern w:val="0"/>
          <w:sz w:val="28"/>
          <w:szCs w:val="28"/>
          <w:lang w:eastAsia="de-AT"/>
          <w14:ligatures w14:val="none"/>
        </w:rPr>
        <w:t>4.2.2 Einfluss von Wetter und Jahreszeit</w:t>
      </w:r>
    </w:p>
    <w:p w14:paraId="7427A300" w14:textId="77777777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</w:rPr>
        <w:t>Die Energieausbeute eines Photovoltaik-Systems schwankt stark je nach Wetterlage und Jahreszeit. Diese Schwankungen müssen bei der Auslegung eines autarken Systems unbedingt berücksichtigt werden.</w:t>
      </w:r>
    </w:p>
    <w:p w14:paraId="2FA52CB7" w14:textId="77777777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  <w:b/>
          <w:bCs/>
        </w:rPr>
        <w:t>Jahreszeitliche Schwankungen:</w:t>
      </w:r>
      <w:r w:rsidRPr="00470185">
        <w:rPr>
          <w:rFonts w:cs="Arial"/>
        </w:rPr>
        <w:t xml:space="preserve"> Im Sommer steht die Sonne höher am Himmel und die Tage sind länger. In Österreich können im Juni bis zu 15 Sonnenstunden erreicht werden, während es im Dezember nur etwa 8 Stunden sind [2]. Zusätzlich ist die Einstrahlungsintensität im Winter deutlich geringer, da die Sonnenstrahlen in einem flacheren Winkel auftreffen. Laut PVGIS-Daten für Österreich produziert ein PV-Modul im Winter oft nur 20-30% der Sommerleistung [3]. Abbildung 3 zeigt den Jahresverlauf des PV-Ertrags für Innsbruck.</w:t>
      </w:r>
    </w:p>
    <w:p w14:paraId="6EB129BE" w14:textId="77777777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  <w:b/>
          <w:bCs/>
        </w:rPr>
        <w:t>[Abbildung 3: Monatlicher PV-Ertrag in kWh für 180W und 1800W System (PVGIS-Daten Innsbruck)]</w:t>
      </w:r>
    </w:p>
    <w:p w14:paraId="1D9B3FE2" w14:textId="77777777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  <w:b/>
          <w:bCs/>
        </w:rPr>
        <w:t>Wettereinflüsse:</w:t>
      </w:r>
      <w:r w:rsidRPr="00470185">
        <w:rPr>
          <w:rFonts w:cs="Arial"/>
        </w:rPr>
        <w:t xml:space="preserve"> Bei bewölktem Himmel sinkt die Leistung drastisch. Während das verwendete </w:t>
      </w:r>
      <w:proofErr w:type="spellStart"/>
      <w:r w:rsidRPr="00470185">
        <w:rPr>
          <w:rFonts w:cs="Arial"/>
        </w:rPr>
        <w:t>enjoysolar</w:t>
      </w:r>
      <w:proofErr w:type="spellEnd"/>
      <w:r w:rsidRPr="00470185">
        <w:rPr>
          <w:rFonts w:cs="Arial"/>
        </w:rPr>
        <w:t xml:space="preserve"> 180W Panel bei Standard-Testbedingungen (1000 W/m² Einstrahlung, 25°C) seine Nennleistung von 180W erreicht, reduziert sich die Ausgangsleistung bei geringerer Einstrahlung proportional [4]. Bei dichter Bewölkung (ca. 200 W/m² Einstrahlung) liefert das Modul nur noch etwa 20-40W. Bei Regen oder Schnee reduziert sich die Leistung noch weiter. Besonders kritisch sind mehrere trübe Tage hintereinander im Winter, wo kaum Energie erzeugt wird.</w:t>
      </w:r>
    </w:p>
    <w:p w14:paraId="67EE7D44" w14:textId="0C2F28EB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  <w:b/>
          <w:bCs/>
        </w:rPr>
        <w:t>Temperatureffekt:</w:t>
      </w:r>
      <w:r w:rsidRPr="00470185">
        <w:rPr>
          <w:rFonts w:cs="Arial"/>
        </w:rPr>
        <w:t xml:space="preserve"> Kristalline Silizium-Solarzellen weisen einen negativen Temperaturkoeffizienten auf. Das </w:t>
      </w:r>
      <w:proofErr w:type="spellStart"/>
      <w:r w:rsidRPr="00470185">
        <w:rPr>
          <w:rFonts w:cs="Arial"/>
        </w:rPr>
        <w:t>enjoysolar</w:t>
      </w:r>
      <w:proofErr w:type="spellEnd"/>
      <w:r w:rsidRPr="00470185">
        <w:rPr>
          <w:rFonts w:cs="Arial"/>
        </w:rPr>
        <w:t xml:space="preserve"> 180W Modul hat laut Datenblatt einen Temperaturkoeffizienten von -0,45%/°C [4]. Im Sommer kann die Modultemperatur über 60°C erreichen, was die Leistung um etwa 10-15% gegenüber den Standard-Testbedingungen (25°C) reduziert. Im Winter hingegen profitiert man von der besseren Effizienz bei kalten Temperaturen.</w:t>
      </w:r>
    </w:p>
    <w:p w14:paraId="43489470" w14:textId="51DCC03E" w:rsidR="006A4CB1" w:rsidRPr="00470185" w:rsidRDefault="006A4CB1" w:rsidP="006A4CB1">
      <w:pPr>
        <w:ind w:left="708"/>
        <w:jc w:val="both"/>
        <w:rPr>
          <w:rFonts w:cs="Arial"/>
        </w:rPr>
      </w:pPr>
      <w:r w:rsidRPr="00470185">
        <w:rPr>
          <w:rFonts w:cs="Arial"/>
        </w:rPr>
        <w:t>Für die Dimensionierung des Systems ist daher der Winter-Worst-Case entscheidend: Wenige Sonnenstunden, geringe Einstrahlungsintensität und möglicherweise mehrere bewölkte Tage hintereinander.</w:t>
      </w:r>
      <w:r w:rsidR="00C106DA">
        <w:rPr>
          <w:rFonts w:cs="Arial"/>
        </w:rPr>
        <w:t xml:space="preserve"> </w:t>
      </w:r>
    </w:p>
    <w:p w14:paraId="292D20D8" w14:textId="77777777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de-AT"/>
          <w14:ligatures w14:val="none"/>
        </w:rPr>
      </w:pPr>
    </w:p>
    <w:p w14:paraId="73CF68D4" w14:textId="39450DBF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AT"/>
          <w14:ligatures w14:val="none"/>
        </w:rPr>
      </w:pPr>
      <w:r w:rsidRPr="004532AA">
        <w:rPr>
          <w:rFonts w:eastAsia="Times New Roman" w:cs="Times New Roman"/>
          <w:b/>
          <w:bCs/>
          <w:kern w:val="0"/>
          <w:lang w:eastAsia="de-AT"/>
          <w14:ligatures w14:val="none"/>
        </w:rPr>
        <w:t>Quellenvorschläge für dein Literaturverzeichnis:</w:t>
      </w:r>
    </w:p>
    <w:p w14:paraId="76F57D8E" w14:textId="77777777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AT"/>
          <w14:ligatures w14:val="none"/>
        </w:rPr>
      </w:pPr>
      <w:r w:rsidRPr="004532AA">
        <w:rPr>
          <w:rFonts w:eastAsia="Times New Roman" w:cs="Times New Roman"/>
          <w:kern w:val="0"/>
          <w:lang w:eastAsia="de-AT"/>
          <w14:ligatures w14:val="none"/>
        </w:rPr>
        <w:t>[1] ZAMG - Zentralanstalt für Meteorologie und Geodynamik: Sonnenscheindauer Österreich (</w:t>
      </w:r>
      <w:hyperlink r:id="rId6" w:history="1">
        <w:r w:rsidRPr="004532AA">
          <w:rPr>
            <w:rFonts w:eastAsia="Times New Roman" w:cs="Times New Roman"/>
            <w:color w:val="0000FF"/>
            <w:kern w:val="0"/>
            <w:u w:val="single"/>
            <w:lang w:eastAsia="de-AT"/>
            <w14:ligatures w14:val="none"/>
          </w:rPr>
          <w:t>https://www.zamg.ac.at</w:t>
        </w:r>
      </w:hyperlink>
      <w:r w:rsidRPr="004532AA">
        <w:rPr>
          <w:rFonts w:eastAsia="Times New Roman" w:cs="Times New Roman"/>
          <w:kern w:val="0"/>
          <w:lang w:eastAsia="de-AT"/>
          <w14:ligatures w14:val="none"/>
        </w:rPr>
        <w:t>)</w:t>
      </w:r>
    </w:p>
    <w:p w14:paraId="42DEAA32" w14:textId="77777777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de-AT"/>
          <w14:ligatures w14:val="none"/>
        </w:rPr>
      </w:pPr>
      <w:r w:rsidRPr="004532AA">
        <w:rPr>
          <w:rFonts w:eastAsia="Times New Roman" w:cs="Times New Roman"/>
          <w:kern w:val="0"/>
          <w:lang w:val="en-GB" w:eastAsia="de-AT"/>
          <w14:ligatures w14:val="none"/>
        </w:rPr>
        <w:t>[2] PVGIS - Photovoltaic Geographical Information System, European Commission, JRC (</w:t>
      </w:r>
      <w:hyperlink r:id="rId7" w:history="1">
        <w:r w:rsidRPr="004532AA">
          <w:rPr>
            <w:rFonts w:eastAsia="Times New Roman" w:cs="Times New Roman"/>
            <w:color w:val="0000FF"/>
            <w:kern w:val="0"/>
            <w:u w:val="single"/>
            <w:lang w:val="en-GB" w:eastAsia="de-AT"/>
            <w14:ligatures w14:val="none"/>
          </w:rPr>
          <w:t>https://re.jrc.ec.europa.eu/pvg_tools/en/</w:t>
        </w:r>
      </w:hyperlink>
      <w:r w:rsidRPr="004532AA">
        <w:rPr>
          <w:rFonts w:eastAsia="Times New Roman" w:cs="Times New Roman"/>
          <w:kern w:val="0"/>
          <w:lang w:val="en-GB" w:eastAsia="de-AT"/>
          <w14:ligatures w14:val="none"/>
        </w:rPr>
        <w:t>)</w:t>
      </w:r>
    </w:p>
    <w:p w14:paraId="73341282" w14:textId="77777777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de-AT"/>
          <w14:ligatures w14:val="none"/>
        </w:rPr>
      </w:pPr>
      <w:r w:rsidRPr="004532AA">
        <w:rPr>
          <w:rFonts w:eastAsia="Times New Roman" w:cs="Times New Roman"/>
          <w:kern w:val="0"/>
          <w:lang w:val="en-GB" w:eastAsia="de-AT"/>
          <w14:ligatures w14:val="none"/>
        </w:rPr>
        <w:t xml:space="preserve">[3] </w:t>
      </w:r>
      <w:proofErr w:type="spellStart"/>
      <w:r w:rsidRPr="004532AA">
        <w:rPr>
          <w:rFonts w:eastAsia="Times New Roman" w:cs="Times New Roman"/>
          <w:kern w:val="0"/>
          <w:lang w:val="en-GB" w:eastAsia="de-AT"/>
          <w14:ligatures w14:val="none"/>
        </w:rPr>
        <w:t>enjoysolar</w:t>
      </w:r>
      <w:proofErr w:type="spellEnd"/>
      <w:r w:rsidRPr="004532AA">
        <w:rPr>
          <w:rFonts w:eastAsia="Times New Roman" w:cs="Times New Roman"/>
          <w:kern w:val="0"/>
          <w:lang w:val="en-GB" w:eastAsia="de-AT"/>
          <w14:ligatures w14:val="none"/>
        </w:rPr>
        <w:t xml:space="preserve">: </w:t>
      </w:r>
      <w:proofErr w:type="spellStart"/>
      <w:r w:rsidRPr="004532AA">
        <w:rPr>
          <w:rFonts w:eastAsia="Times New Roman" w:cs="Times New Roman"/>
          <w:kern w:val="0"/>
          <w:lang w:val="en-GB" w:eastAsia="de-AT"/>
          <w14:ligatures w14:val="none"/>
        </w:rPr>
        <w:t>Datenblatt</w:t>
      </w:r>
      <w:proofErr w:type="spellEnd"/>
      <w:r w:rsidRPr="004532AA">
        <w:rPr>
          <w:rFonts w:eastAsia="Times New Roman" w:cs="Times New Roman"/>
          <w:kern w:val="0"/>
          <w:lang w:val="en-GB" w:eastAsia="de-AT"/>
          <w14:ligatures w14:val="none"/>
        </w:rPr>
        <w:t xml:space="preserve"> Poly 180W 12V </w:t>
      </w:r>
      <w:proofErr w:type="spellStart"/>
      <w:r w:rsidRPr="004532AA">
        <w:rPr>
          <w:rFonts w:eastAsia="Times New Roman" w:cs="Times New Roman"/>
          <w:kern w:val="0"/>
          <w:lang w:val="en-GB" w:eastAsia="de-AT"/>
          <w14:ligatures w14:val="none"/>
        </w:rPr>
        <w:t>Solarmodul</w:t>
      </w:r>
      <w:proofErr w:type="spellEnd"/>
      <w:r w:rsidRPr="004532AA">
        <w:rPr>
          <w:rFonts w:eastAsia="Times New Roman" w:cs="Times New Roman"/>
          <w:kern w:val="0"/>
          <w:lang w:val="en-GB" w:eastAsia="de-AT"/>
          <w14:ligatures w14:val="none"/>
        </w:rPr>
        <w:t xml:space="preserve"> (</w:t>
      </w:r>
      <w:hyperlink r:id="rId8" w:history="1">
        <w:r w:rsidRPr="004532AA">
          <w:rPr>
            <w:rFonts w:eastAsia="Times New Roman" w:cs="Times New Roman"/>
            <w:color w:val="0000FF"/>
            <w:kern w:val="0"/>
            <w:u w:val="single"/>
            <w:lang w:val="en-GB" w:eastAsia="de-AT"/>
            <w14:ligatures w14:val="none"/>
          </w:rPr>
          <w:t>https://www.enjoysolar.de</w:t>
        </w:r>
      </w:hyperlink>
      <w:r w:rsidRPr="004532AA">
        <w:rPr>
          <w:rFonts w:eastAsia="Times New Roman" w:cs="Times New Roman"/>
          <w:kern w:val="0"/>
          <w:lang w:val="en-GB" w:eastAsia="de-AT"/>
          <w14:ligatures w14:val="none"/>
        </w:rPr>
        <w:t>)</w:t>
      </w:r>
    </w:p>
    <w:p w14:paraId="764503C7" w14:textId="6C0D9967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de-AT"/>
          <w14:ligatures w14:val="none"/>
        </w:rPr>
      </w:pPr>
      <w:r w:rsidRPr="004532AA">
        <w:rPr>
          <w:rFonts w:eastAsia="Times New Roman" w:cs="Times New Roman"/>
          <w:kern w:val="0"/>
          <w:lang w:val="en-GB" w:eastAsia="de-AT"/>
          <w14:ligatures w14:val="none"/>
        </w:rPr>
        <w:lastRenderedPageBreak/>
        <w:t>[4] IEC 61215: Terrestrial photovoltaic (PV) modules - Design qualification and type approval</w:t>
      </w:r>
    </w:p>
    <w:p w14:paraId="7B8BF115" w14:textId="50AEF0D6" w:rsidR="004532AA" w:rsidRPr="004532AA" w:rsidRDefault="004532AA" w:rsidP="004532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AT"/>
          <w14:ligatures w14:val="none"/>
        </w:rPr>
      </w:pPr>
      <w:r w:rsidRPr="004532AA">
        <w:rPr>
          <w:rFonts w:eastAsia="Times New Roman" w:cs="Times New Roman"/>
          <w:b/>
          <w:bCs/>
          <w:kern w:val="0"/>
          <w:lang w:eastAsia="de-AT"/>
          <w14:ligatures w14:val="none"/>
        </w:rPr>
        <w:t>Hinweis:</w:t>
      </w:r>
      <w:r w:rsidRPr="004532AA">
        <w:rPr>
          <w:rFonts w:eastAsia="Times New Roman" w:cs="Times New Roman"/>
          <w:kern w:val="0"/>
          <w:lang w:eastAsia="de-AT"/>
          <w14:ligatures w14:val="none"/>
        </w:rPr>
        <w:t xml:space="preserve"> Den genauen Temperaturkoeffizienten (-0,45%/°C) findest du im </w:t>
      </w:r>
      <w:proofErr w:type="spellStart"/>
      <w:r w:rsidRPr="004532AA">
        <w:rPr>
          <w:rFonts w:eastAsia="Times New Roman" w:cs="Times New Roman"/>
          <w:kern w:val="0"/>
          <w:lang w:eastAsia="de-AT"/>
          <w14:ligatures w14:val="none"/>
        </w:rPr>
        <w:t>enjoysolar</w:t>
      </w:r>
      <w:proofErr w:type="spellEnd"/>
      <w:r w:rsidRPr="004532AA">
        <w:rPr>
          <w:rFonts w:eastAsia="Times New Roman" w:cs="Times New Roman"/>
          <w:kern w:val="0"/>
          <w:lang w:eastAsia="de-AT"/>
          <w14:ligatures w14:val="none"/>
        </w:rPr>
        <w:t xml:space="preserve"> Datenblatt. Falls dort ein anderer Wert steht, passe ihn entsprechend an. Die meisten kristallinen Module liegen im Bereich -0,4% bis -0,5%/°C.</w:t>
      </w:r>
    </w:p>
    <w:sectPr w:rsidR="004532AA" w:rsidRPr="004532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FD"/>
    <w:rsid w:val="000C52CA"/>
    <w:rsid w:val="00164829"/>
    <w:rsid w:val="00246914"/>
    <w:rsid w:val="0026657A"/>
    <w:rsid w:val="002D0C6F"/>
    <w:rsid w:val="00322CED"/>
    <w:rsid w:val="00340DAD"/>
    <w:rsid w:val="003E2110"/>
    <w:rsid w:val="004159AE"/>
    <w:rsid w:val="00444FFB"/>
    <w:rsid w:val="0044550E"/>
    <w:rsid w:val="004532AA"/>
    <w:rsid w:val="00470185"/>
    <w:rsid w:val="005C24E3"/>
    <w:rsid w:val="006A4CB1"/>
    <w:rsid w:val="006F1CD2"/>
    <w:rsid w:val="00704043"/>
    <w:rsid w:val="0071275A"/>
    <w:rsid w:val="00752EFD"/>
    <w:rsid w:val="00786097"/>
    <w:rsid w:val="008B24F8"/>
    <w:rsid w:val="00923AF3"/>
    <w:rsid w:val="009635FE"/>
    <w:rsid w:val="00AF4F0F"/>
    <w:rsid w:val="00B104C2"/>
    <w:rsid w:val="00B36B76"/>
    <w:rsid w:val="00B91D40"/>
    <w:rsid w:val="00C0397B"/>
    <w:rsid w:val="00C106DA"/>
    <w:rsid w:val="00C27728"/>
    <w:rsid w:val="00CA77FD"/>
    <w:rsid w:val="00CD1E0D"/>
    <w:rsid w:val="00D317AC"/>
    <w:rsid w:val="00D368E7"/>
    <w:rsid w:val="00E0201B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67447"/>
  <w15:chartTrackingRefBased/>
  <w15:docId w15:val="{7914AB6F-35DB-4D82-87ED-B40348F5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201B"/>
  </w:style>
  <w:style w:type="paragraph" w:styleId="berschrift1">
    <w:name w:val="heading 1"/>
    <w:basedOn w:val="Standard"/>
    <w:next w:val="Standard"/>
    <w:link w:val="berschrift1Zchn"/>
    <w:uiPriority w:val="9"/>
    <w:qFormat/>
    <w:rsid w:val="0075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2E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2E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2E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2E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2E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2E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2E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2E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2E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2E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2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532A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32AA"/>
    <w:rPr>
      <w:color w:val="605E5C"/>
      <w:shd w:val="clear" w:color="auto" w:fill="E1DFDD"/>
    </w:rPr>
  </w:style>
  <w:style w:type="paragraph" w:styleId="Literaturverzeichnis">
    <w:name w:val="Bibliography"/>
    <w:basedOn w:val="Standard"/>
    <w:next w:val="Standard"/>
    <w:uiPriority w:val="37"/>
    <w:unhideWhenUsed/>
    <w:rsid w:val="00C106DA"/>
  </w:style>
  <w:style w:type="paragraph" w:styleId="Beschriftung">
    <w:name w:val="caption"/>
    <w:basedOn w:val="Standard"/>
    <w:next w:val="Standard"/>
    <w:uiPriority w:val="35"/>
    <w:unhideWhenUsed/>
    <w:qFormat/>
    <w:rsid w:val="00AF4F0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joysolar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.jrc.ec.europa.eu/pvg_tools/en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zamg.ac.a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8BCCCA5-6575-42D5-B71B-771729CE9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31</cp:revision>
  <dcterms:created xsi:type="dcterms:W3CDTF">2025-12-17T09:04:00Z</dcterms:created>
  <dcterms:modified xsi:type="dcterms:W3CDTF">2026-02-02T13:25:00Z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id="jZZf7HlV"/&gt;&lt;style id="http://www.zotero.org/styles/ieee" locale="de-DE" hasBibliography="1" bibliographyStyleHasBeenSet="1"/&gt;&lt;prefs&gt;&lt;pref name="fieldType" value="Field"/&gt;&lt;/prefs&gt;&lt;/data&gt;</vt:lpwstr>
  </property>
</Properties>
</file>