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BC3C" w14:textId="77777777" w:rsidR="00490195" w:rsidRPr="006A38A0" w:rsidRDefault="00490195" w:rsidP="00490195">
      <w:pPr>
        <w:pStyle w:val="berschrift1"/>
      </w:pPr>
      <w:bookmarkStart w:id="0" w:name="_Toc222767624"/>
      <w:r w:rsidRPr="006A38A0">
        <w:t>4.9 Zusammenfassung und Ausblick</w:t>
      </w:r>
      <w:bookmarkEnd w:id="0"/>
    </w:p>
    <w:p w14:paraId="5C4A262F" w14:textId="77777777" w:rsidR="00490195" w:rsidRPr="006A38A0" w:rsidRDefault="00490195" w:rsidP="00490195">
      <w:pPr>
        <w:ind w:left="708"/>
        <w:jc w:val="both"/>
      </w:pPr>
      <w:r w:rsidRPr="006A38A0">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23A7B17E" w14:textId="77777777" w:rsidR="00490195" w:rsidRPr="006A38A0" w:rsidRDefault="00490195" w:rsidP="00490195">
      <w:pPr>
        <w:pStyle w:val="berschrift2"/>
      </w:pPr>
      <w:bookmarkStart w:id="1" w:name="_Toc222767625"/>
      <w:r w:rsidRPr="006A38A0">
        <w:t>4.9.1 Erreichte Ziele und Erfahrungen</w:t>
      </w:r>
      <w:bookmarkEnd w:id="1"/>
    </w:p>
    <w:p w14:paraId="7350EF22" w14:textId="77777777" w:rsidR="00490195" w:rsidRPr="006A38A0" w:rsidRDefault="00490195" w:rsidP="00490195">
      <w:pPr>
        <w:ind w:left="708"/>
        <w:jc w:val="both"/>
      </w:pPr>
      <w:r w:rsidRPr="006A38A0">
        <w:t>Die zwei zentralen Ziele dieses Projektteils konnten erfolgreich umgesetzt werden. Der Prototyp wurde vollständig aufgebaut und in Betrieb genommen. Das hybride Energiesystem bestehend aus einem 1</w:t>
      </w:r>
      <w:r>
        <w:t>8</w:t>
      </w:r>
      <w:r w:rsidRPr="006A38A0">
        <w:t>0</w:t>
      </w:r>
      <w:r>
        <w:t> </w:t>
      </w:r>
      <w:r w:rsidRPr="006A38A0">
        <w:t>W Photovoltaikmodul, einem 12</w:t>
      </w:r>
      <w:r>
        <w:t> </w:t>
      </w:r>
      <w:r w:rsidRPr="006A38A0">
        <w:t>V 100</w:t>
      </w:r>
      <w:r>
        <w:t> </w:t>
      </w:r>
      <w:r w:rsidRPr="006A38A0">
        <w:t xml:space="preserve">Ah </w:t>
      </w:r>
      <w:proofErr w:type="spellStart"/>
      <w:r w:rsidRPr="006A38A0">
        <w:t>LiFePO</w:t>
      </w:r>
      <w:proofErr w:type="spellEnd"/>
      <w:r w:rsidRPr="006A38A0">
        <w:rPr>
          <w:rFonts w:ascii="Cambria Math" w:hAnsi="Cambria Math" w:cs="Cambria Math"/>
        </w:rPr>
        <w:t>₄</w:t>
      </w:r>
      <w:r w:rsidRPr="006A38A0">
        <w:t>-Akkusystem und dem Victron MultiPlus 12/800 arbeitet stabil und demonstriert das Zusammenspiel von PV-</w:t>
      </w:r>
      <w:r>
        <w:t>Energieerzeugung</w:t>
      </w:r>
      <w:r w:rsidRPr="006A38A0">
        <w:t>, Batteriespeicherung und Netz-Backup</w:t>
      </w:r>
      <w:r>
        <w:t xml:space="preserve">. </w:t>
      </w:r>
      <w:r w:rsidRPr="006A38A0">
        <w:t>Darüber hinaus wurde eine umfassende Wirtschaftlichkeitsanalyse durchgeführt, die zeigt, dass das Konzept bei einer Skalierung auf 10</w:t>
      </w:r>
      <w:r>
        <w:t> </w:t>
      </w:r>
      <w:r w:rsidRPr="006A38A0">
        <w:t>m² mit einer Amortisationszeit von rund 4,6</w:t>
      </w:r>
      <w:r>
        <w:t> J</w:t>
      </w:r>
      <w:r w:rsidRPr="006A38A0">
        <w:t>ahren und einem ROI von etwa 21,5</w:t>
      </w:r>
      <w:r>
        <w:t> </w:t>
      </w:r>
      <w:r w:rsidRPr="006A38A0">
        <w:t>% wirtschaftlich attraktiv ist.</w:t>
      </w:r>
    </w:p>
    <w:p w14:paraId="02F2ECAF" w14:textId="77777777" w:rsidR="00490195" w:rsidRPr="006A38A0" w:rsidRDefault="00490195" w:rsidP="00490195">
      <w:pPr>
        <w:ind w:left="708"/>
        <w:jc w:val="both"/>
      </w:pPr>
      <w:r w:rsidRPr="006A38A0">
        <w:t>Eine reale Umsetzung</w:t>
      </w:r>
      <w:r>
        <w:t xml:space="preserve"> eines </w:t>
      </w:r>
      <w:r w:rsidRPr="006A38A0">
        <w:t>10</w:t>
      </w:r>
      <w:r>
        <w:t> </w:t>
      </w:r>
      <w:r w:rsidRPr="006A38A0">
        <w:t xml:space="preserve">m² </w:t>
      </w:r>
      <w:r>
        <w:t xml:space="preserve">Gewächshauses </w:t>
      </w:r>
      <w:r w:rsidRPr="006A38A0">
        <w:t>würde weitere Erkenntnisse liefern, insbesondere hinsichtlich der tatsächlichen Lastverteilung</w:t>
      </w:r>
      <w:r>
        <w:t xml:space="preserve">, </w:t>
      </w:r>
      <w:r w:rsidRPr="006A38A0">
        <w:t>des saisonalen Speicherverhaltens</w:t>
      </w:r>
      <w:r>
        <w:t xml:space="preserve"> und Kombinationsmöglichkeiten mit anderen erneuerbaren </w:t>
      </w:r>
      <w:r w:rsidRPr="002D4634">
        <w:t>Energie Versorgungsarten</w:t>
      </w:r>
      <w:r w:rsidRPr="006A38A0">
        <w:t>. Zudem führten Kommunikationsmissverständnisse mit dem Projektsponsor im Verlauf der Arbeit zu Verzögerungen und einer notwendigen Neuausrichtung einzelner Anforderungen. Diese Erfahrung unterstreicht, wie wichtig eine frühzeitige und präzise Abstimmung der Erwartungen</w:t>
      </w:r>
      <w:r>
        <w:t xml:space="preserve">, </w:t>
      </w:r>
      <w:r w:rsidRPr="006A38A0">
        <w:t>Systemgrenzen</w:t>
      </w:r>
      <w:r>
        <w:t xml:space="preserve"> und Fähigkeiten</w:t>
      </w:r>
      <w:r w:rsidRPr="006A38A0">
        <w:t xml:space="preserve"> </w:t>
      </w:r>
      <w:r>
        <w:t>aller</w:t>
      </w:r>
      <w:r w:rsidRPr="006A38A0">
        <w:t xml:space="preserve"> Projektbeteiligten ist – insbesondere bei technischen Projekten mit externen Partnern.</w:t>
      </w:r>
    </w:p>
    <w:p w14:paraId="3C6E9678" w14:textId="77777777" w:rsidR="00490195" w:rsidRPr="006A38A0" w:rsidRDefault="00490195" w:rsidP="00490195">
      <w:pPr>
        <w:pStyle w:val="berschrift2"/>
      </w:pPr>
      <w:bookmarkStart w:id="2" w:name="_Toc222767626"/>
      <w:r w:rsidRPr="006A38A0">
        <w:t>4.9.2 Optimierungspotenzial und Ausblick</w:t>
      </w:r>
      <w:bookmarkEnd w:id="2"/>
    </w:p>
    <w:p w14:paraId="798F4977" w14:textId="77777777" w:rsidR="00490195" w:rsidRPr="006A38A0" w:rsidRDefault="00490195" w:rsidP="00490195">
      <w:pPr>
        <w:ind w:left="708"/>
        <w:jc w:val="both"/>
      </w:pPr>
      <w:r w:rsidRPr="006A38A0">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ergänzen</w:t>
      </w:r>
      <w:r>
        <w:t xml:space="preserve"> </w:t>
      </w:r>
      <w:r w:rsidRPr="006A38A0">
        <w:t>und damit die Schwachstelle der PV</w:t>
      </w:r>
      <w:r>
        <w:t>-Anlage</w:t>
      </w:r>
      <w:r w:rsidRPr="006A38A0">
        <w:t xml:space="preserve"> ausgleicht. Bei Gewächshäusern in der Nähe von Bächen oder Flüssen könnte eine Kleinwasserkraft</w:t>
      </w:r>
      <w:r>
        <w:t>werk</w:t>
      </w:r>
      <w:r w:rsidRPr="006A38A0">
        <w:t xml:space="preserve"> als kontinuierliche Grundlastquelle geprüft werden, da Wasserkraft im Gegensatz zu PV</w:t>
      </w:r>
      <w:r>
        <w:t>-Energie</w:t>
      </w:r>
      <w:r w:rsidRPr="006A38A0">
        <w:t xml:space="preserve"> und Wind weitgehend wetterunabhängig ist. Ziel der Standortplanung sollte es sein, die vorhandenen natürlichen Ressourcen so zu kombinieren, dass eine möglichst hohe Versorgungssicherheit bei gleichzeitig niedrigen Erzeugungskosten erreicht wird.</w:t>
      </w:r>
    </w:p>
    <w:p w14:paraId="09026334" w14:textId="77777777" w:rsidR="00490195" w:rsidRDefault="00490195" w:rsidP="00490195">
      <w:pPr>
        <w:ind w:left="708"/>
        <w:jc w:val="both"/>
      </w:pPr>
      <w:r w:rsidRPr="006A38A0">
        <w:t xml:space="preserve">Ein weiterer naheliegender Schritt ist die Skalierung des Konzepts auf größere Gewächshausanlagen. Die in dieser Arbeit durchgeführte Wirtschaftlichkeitsanalyse zeigt, dass größere Anlagen aufgrund niedrigerer </w:t>
      </w:r>
      <w:r w:rsidRPr="006A38A0">
        <w:lastRenderedPageBreak/>
        <w:t>spezifischer Kosten pro kWp tendenziell wirtschaftlicher sind. Bei einer Skalierung wären jedoch nicht nur die Komponentendimensionierung anzupassen, sondern auch die Systemarchitektur neu zu bewerten – etwa hinsichtlich der Wahl zwischen 12</w:t>
      </w:r>
      <w:r>
        <w:t> </w:t>
      </w:r>
      <w:r w:rsidRPr="006A38A0">
        <w:t>V, 24</w:t>
      </w:r>
      <w:r>
        <w:t> </w:t>
      </w:r>
      <w:r w:rsidRPr="006A38A0">
        <w:t>V oder 48</w:t>
      </w:r>
      <w:r>
        <w:t> </w:t>
      </w:r>
      <w:r w:rsidRPr="006A38A0">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3FE27B74" w14:textId="66D37126" w:rsidR="00F335CB" w:rsidRPr="00490195" w:rsidRDefault="00F335CB" w:rsidP="00490195"/>
    <w:sectPr w:rsidR="00F335CB" w:rsidRPr="00490195">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24342"/>
    <w:multiLevelType w:val="hybridMultilevel"/>
    <w:tmpl w:val="EFEA6B0A"/>
    <w:lvl w:ilvl="0" w:tplc="D1DEC9C4">
      <w:start w:val="1"/>
      <w:numFmt w:val="bullet"/>
      <w:lvlText w:val="•"/>
      <w:lvlJc w:val="left"/>
      <w:pPr>
        <w:ind w:left="720" w:hanging="360"/>
      </w:pPr>
    </w:lvl>
    <w:lvl w:ilvl="1" w:tplc="E6980C8A">
      <w:numFmt w:val="decimal"/>
      <w:lvlText w:val=""/>
      <w:lvlJc w:val="left"/>
    </w:lvl>
    <w:lvl w:ilvl="2" w:tplc="6F2AF860">
      <w:numFmt w:val="decimal"/>
      <w:lvlText w:val=""/>
      <w:lvlJc w:val="left"/>
    </w:lvl>
    <w:lvl w:ilvl="3" w:tplc="372266B8">
      <w:numFmt w:val="decimal"/>
      <w:lvlText w:val=""/>
      <w:lvlJc w:val="left"/>
    </w:lvl>
    <w:lvl w:ilvl="4" w:tplc="1D00F572">
      <w:numFmt w:val="decimal"/>
      <w:lvlText w:val=""/>
      <w:lvlJc w:val="left"/>
    </w:lvl>
    <w:lvl w:ilvl="5" w:tplc="AD94A8B8">
      <w:numFmt w:val="decimal"/>
      <w:lvlText w:val=""/>
      <w:lvlJc w:val="left"/>
    </w:lvl>
    <w:lvl w:ilvl="6" w:tplc="2138DFAE">
      <w:numFmt w:val="decimal"/>
      <w:lvlText w:val=""/>
      <w:lvlJc w:val="left"/>
    </w:lvl>
    <w:lvl w:ilvl="7" w:tplc="C038DD10">
      <w:numFmt w:val="decimal"/>
      <w:lvlText w:val=""/>
      <w:lvlJc w:val="left"/>
    </w:lvl>
    <w:lvl w:ilvl="8" w:tplc="66066718">
      <w:numFmt w:val="decimal"/>
      <w:lvlText w:val=""/>
      <w:lvlJc w:val="left"/>
    </w:lvl>
  </w:abstractNum>
  <w:abstractNum w:abstractNumId="1" w15:restartNumberingAfterBreak="0">
    <w:nsid w:val="74F35A91"/>
    <w:multiLevelType w:val="hybridMultilevel"/>
    <w:tmpl w:val="88A6EEDA"/>
    <w:lvl w:ilvl="0" w:tplc="A18C262A">
      <w:start w:val="1"/>
      <w:numFmt w:val="bullet"/>
      <w:lvlText w:val="●"/>
      <w:lvlJc w:val="left"/>
      <w:pPr>
        <w:ind w:left="720" w:hanging="360"/>
      </w:pPr>
    </w:lvl>
    <w:lvl w:ilvl="1" w:tplc="9FE0E1BE">
      <w:start w:val="1"/>
      <w:numFmt w:val="bullet"/>
      <w:lvlText w:val="○"/>
      <w:lvlJc w:val="left"/>
      <w:pPr>
        <w:ind w:left="1440" w:hanging="360"/>
      </w:pPr>
    </w:lvl>
    <w:lvl w:ilvl="2" w:tplc="EC006E44">
      <w:start w:val="1"/>
      <w:numFmt w:val="bullet"/>
      <w:lvlText w:val="■"/>
      <w:lvlJc w:val="left"/>
      <w:pPr>
        <w:ind w:left="2160" w:hanging="360"/>
      </w:pPr>
    </w:lvl>
    <w:lvl w:ilvl="3" w:tplc="8B166700">
      <w:start w:val="1"/>
      <w:numFmt w:val="bullet"/>
      <w:lvlText w:val="●"/>
      <w:lvlJc w:val="left"/>
      <w:pPr>
        <w:ind w:left="2880" w:hanging="360"/>
      </w:pPr>
    </w:lvl>
    <w:lvl w:ilvl="4" w:tplc="EFAAD64A">
      <w:start w:val="1"/>
      <w:numFmt w:val="bullet"/>
      <w:lvlText w:val="○"/>
      <w:lvlJc w:val="left"/>
      <w:pPr>
        <w:ind w:left="3600" w:hanging="360"/>
      </w:pPr>
    </w:lvl>
    <w:lvl w:ilvl="5" w:tplc="74A0B0D8">
      <w:start w:val="1"/>
      <w:numFmt w:val="bullet"/>
      <w:lvlText w:val="■"/>
      <w:lvlJc w:val="left"/>
      <w:pPr>
        <w:ind w:left="4320" w:hanging="360"/>
      </w:pPr>
    </w:lvl>
    <w:lvl w:ilvl="6" w:tplc="00ECC502">
      <w:start w:val="1"/>
      <w:numFmt w:val="bullet"/>
      <w:lvlText w:val="●"/>
      <w:lvlJc w:val="left"/>
      <w:pPr>
        <w:ind w:left="5040" w:hanging="360"/>
      </w:pPr>
    </w:lvl>
    <w:lvl w:ilvl="7" w:tplc="5DCCCD60">
      <w:start w:val="1"/>
      <w:numFmt w:val="bullet"/>
      <w:lvlText w:val="●"/>
      <w:lvlJc w:val="left"/>
      <w:pPr>
        <w:ind w:left="5760" w:hanging="360"/>
      </w:pPr>
    </w:lvl>
    <w:lvl w:ilvl="8" w:tplc="81A2AD46">
      <w:start w:val="1"/>
      <w:numFmt w:val="bullet"/>
      <w:lvlText w:val="●"/>
      <w:lvlJc w:val="left"/>
      <w:pPr>
        <w:ind w:left="6480" w:hanging="360"/>
      </w:pPr>
    </w:lvl>
  </w:abstractNum>
  <w:num w:numId="1" w16cid:durableId="18219193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CB"/>
    <w:rsid w:val="00490195"/>
    <w:rsid w:val="008E1F59"/>
    <w:rsid w:val="00F335C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9490"/>
  <w15:docId w15:val="{DEE8C7B8-2ACF-46AC-84E6-151E68FC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2E4057"/>
      <w:sz w:val="32"/>
      <w:szCs w:val="32"/>
    </w:rPr>
  </w:style>
  <w:style w:type="paragraph" w:styleId="berschrift2">
    <w:name w:val="heading 2"/>
    <w:uiPriority w:val="9"/>
    <w:unhideWhenUsed/>
    <w:qFormat/>
    <w:pPr>
      <w:spacing w:before="280" w:after="140"/>
      <w:outlineLvl w:val="1"/>
    </w:pPr>
    <w:rPr>
      <w:b/>
      <w:bCs/>
      <w:color w:val="2E4057"/>
      <w:sz w:val="28"/>
      <w:szCs w:val="28"/>
    </w:rPr>
  </w:style>
  <w:style w:type="paragraph" w:styleId="berschrift3">
    <w:name w:val="heading 3"/>
    <w:uiPriority w:val="9"/>
    <w:semiHidden/>
    <w:unhideWhenUsed/>
    <w:qFormat/>
    <w:pPr>
      <w:spacing w:before="200" w:after="100"/>
      <w:outlineLvl w:val="2"/>
    </w:pPr>
    <w:rPr>
      <w:b/>
      <w:bCs/>
      <w:color w:val="2E4057"/>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2957</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BAUMANN Christian, SchülerIn</cp:lastModifiedBy>
  <cp:revision>2</cp:revision>
  <dcterms:created xsi:type="dcterms:W3CDTF">2026-02-18T12:53:00Z</dcterms:created>
  <dcterms:modified xsi:type="dcterms:W3CDTF">2026-02-23T19:32:00Z</dcterms:modified>
</cp:coreProperties>
</file>