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4.9 Elektrische Planung</w:t>
      </w:r>
    </w:p>
    <w:p>
      <w:pPr>
        <w:spacing w:after="200"/>
        <w:jc w:val="both"/>
      </w:pPr>
      <w:r>
        <w:rPr>
          <w:rFonts w:ascii="Arial" w:cs="Arial" w:eastAsia="Arial" w:hAnsi="Arial"/>
          <w:sz w:val="24"/>
          <w:szCs w:val="24"/>
        </w:rPr>
        <w:t xml:space="preserve">Die elektrische Planung bildet die Grundlage für den strukturierten Aufbau des hybriden 12‑V-Energiesystems. Ziel dieses Kapitels ist es, die elektrischen Verbindungen aller Systemkomponenten systematisch darzustellen und zu erläutern. Als Planungswerkzeug wurde die Open‑Source-Software KiCad E.D.A. in der Version 9.0.5 verwendet, mit der ein vollständiger Schaltplan des Gesamtsystems erstellt wurde. Der Schaltplan dient sowohl als Dokumentation als auch als Grundlage für den physischen Aufbau des Prototyps.</w:t>
      </w:r>
    </w:p>
    <w:p>
      <w:pPr>
        <w:pStyle w:val="Heading2"/>
      </w:pPr>
      <w:r>
        <w:t xml:space="preserve">4.9.1 Systemübersicht und Schaltplanstruktur</w:t>
      </w:r>
    </w:p>
    <w:p>
      <w:pPr>
        <w:spacing w:after="160"/>
        <w:jc w:val="both"/>
      </w:pPr>
      <w:r>
        <w:rPr>
          <w:rFonts w:ascii="Arial" w:cs="Arial" w:eastAsia="Arial" w:hAnsi="Arial"/>
          <w:sz w:val="24"/>
          <w:szCs w:val="24"/>
        </w:rPr>
        <w:t xml:space="preserve">Das System besteht aus mehreren funktionalen Gruppen, die im Schaltplan klar voneinander abgegrenzt dargestellt sind. Im Zentrum steht ein 12‑V-Gleichspannungsbus, an den sämtliche Energiequellen und -verbraucher angeschlossen sind. Die Kommunikation zwischen den Victron-Komponenten erfolgt über zwei proprietäre Bussysteme: VE.Bus für die Verbindung zwischen dem Victron MultiPlus und dem Cerbo GX sowie VE.Direct für die Datenübertragung des SmartShunt zum Cerbo GX.</w:t>
      </w:r>
    </w:p>
    <w:p>
      <w:pPr>
        <w:spacing w:after="200"/>
        <w:jc w:val="both"/>
      </w:pPr>
      <w:r>
        <w:rPr>
          <w:rFonts w:ascii="Arial" w:cs="Arial" w:eastAsia="Arial" w:hAnsi="Arial"/>
          <w:sz w:val="24"/>
          <w:szCs w:val="24"/>
        </w:rPr>
        <w:t xml:space="preserve">Der Schaltplan gliedert sich in folgende funktionale Blöcke: Energiequellen (PV-Panel und AGM-Batterie), Energiemanagement (MultiPlus 12/800 als Laderegler und Wechselrichter), Schutzschaltung (Sicherungen F1 und F2), Spannungsversorgung der Steuereinheiten (DC/DC-Wandler) sowie Monitoring und Anzeige (SmartShunt, Cerbo GX und GX Touch 50). Diese Struktur gewährleistet eine klare Trennung von Leistungs- und Signalkreisen.</w:t>
      </w:r>
    </w:p>
    <w:p>
      <w:pPr>
        <w:pStyle w:val="Heading2"/>
      </w:pPr>
      <w:r>
        <w:t xml:space="preserve">4.9.2 Energiepfad: PV-Panel und Batterie</w:t>
      </w:r>
    </w:p>
    <w:p>
      <w:pPr>
        <w:spacing w:after="160"/>
        <w:jc w:val="both"/>
      </w:pPr>
      <w:r>
        <w:rPr>
          <w:rFonts w:ascii="Arial" w:cs="Arial" w:eastAsia="Arial" w:hAnsi="Arial"/>
          <w:sz w:val="24"/>
          <w:szCs w:val="24"/>
        </w:rPr>
        <w:t xml:space="preserve">Die primäre Energiequelle des Systems ist ein PV-Panel mit einer Nennleistung von 180 W bei einer Nennspannung von 12 V (PANEL1). Das Panel ist direkt mit den Eingängen PV_PLUS und PV_MINUS des Victron MultiPlus 12/800 (U2) verbunden, welcher gleichzeitig als Laderegler und Wechselrichter fungiert. Der MultiPlus übernimmt die geregelte Ladung der AGM-Batterie (BAT1) mit einer Kapazität von 100 Ah bei 12 V sowie die Einspeisung ins 230 V-Wechselspannungsnetz über den Ausgang AC_OUT.</w:t>
      </w:r>
    </w:p>
    <w:p>
      <w:pPr>
        <w:spacing w:after="160"/>
        <w:jc w:val="both"/>
      </w:pPr>
      <w:r>
        <w:rPr>
          <w:rFonts w:ascii="Arial" w:cs="Arial" w:eastAsia="Arial" w:hAnsi="Arial"/>
          <w:sz w:val="24"/>
          <w:szCs w:val="24"/>
        </w:rPr>
        <w:t xml:space="preserve">Die AGM-Batterie ist über die Klemmen BAT_PLUS und BAT_MINUS mit dem MultiPlus verbunden. Im Rahmen des Hybridsystems ermöglicht der MultiPlus zusätzlich den Netzanschluss als Backup-Versorgung, sodass bei unzureichender PV-Erzeugung oder zu niedrigem Batteriestand automatisch auf Netzbezug umgeschaltet werden kann. Das hardwareseitige Lastmanagement, also das Abschalten von Verbrauchern bei kritischem Batteriestand, wird ebenfalls durch den MultiPlus gesteuert.</w:t>
      </w:r>
    </w:p>
    <w:p>
      <w:pPr>
        <w:spacing w:after="200"/>
        <w:jc w:val="both"/>
      </w:pPr>
      <w:r>
        <w:rPr>
          <w:rFonts w:ascii="Arial" w:cs="Arial" w:eastAsia="Arial" w:hAnsi="Arial"/>
          <w:sz w:val="24"/>
          <w:szCs w:val="24"/>
        </w:rPr>
        <w:t xml:space="preserve">Der Energiepfad zwischen Batterie und MultiPlus ist durch zwei in Serie geschaltete Sicherungen abgesichert. Diese werden in Kapitel 4.9.5 detailliert beschrieben.</w:t>
      </w:r>
    </w:p>
    <w:p>
      <w:pPr>
        <w:pStyle w:val="Heading2"/>
      </w:pPr>
      <w:r>
        <w:t xml:space="preserve">4.9.3 DC/DC-Wandler und Spannungsversorgung der Steuerkomponenten</w:t>
      </w:r>
    </w:p>
    <w:p>
      <w:pPr>
        <w:spacing w:after="160"/>
        <w:jc w:val="both"/>
      </w:pPr>
      <w:r>
        <w:rPr>
          <w:rFonts w:ascii="Arial" w:cs="Arial" w:eastAsia="Arial" w:hAnsi="Arial"/>
          <w:sz w:val="24"/>
          <w:szCs w:val="24"/>
        </w:rPr>
        <w:t xml:space="preserve">Da die Steuerkomponenten des Systems unterschiedliche Versorgungsspannungen benötigen, werden zwei DC/DC-Wandler eingesetzt, um aus der Systembatteriespannung von 12 V die erforderlichen Spannungsniveaus bereitzustellen.</w:t>
      </w:r>
    </w:p>
    <w:p>
      <w:pPr>
        <w:spacing w:after="160"/>
        <w:jc w:val="both"/>
      </w:pPr>
      <w:r>
        <w:rPr>
          <w:rFonts w:ascii="Arial" w:cs="Arial" w:eastAsia="Arial" w:hAnsi="Arial"/>
          <w:sz w:val="24"/>
          <w:szCs w:val="24"/>
        </w:rPr>
        <w:t xml:space="preserve">Der erste Wandler ist der Victron Orion 12/12-18 (U6), ein galvanisch trennender DC/DC-Wandler. Er wandelt die 12 V Batteriespannung in eine geregelte 12 V-Ausgangsspannung um und versorgt damit den Victron Cerbo GX. Die galvanische Trennung schützt den Cerbo GX vor Spannungsschwankungen und Störungen, die durch Ladevorgänge oder Lastspitzen auf dem Hauptbus entstehen können. Der Eingang des Orion ist mit dem 12 V-Bus verbunden (12V_IN), der Ausgang (12V_OUT) speist den Cerbo GX.</w:t>
      </w:r>
    </w:p>
    <w:p>
      <w:pPr>
        <w:spacing w:after="160"/>
        <w:jc w:val="both"/>
      </w:pPr>
      <w:r>
        <w:rPr>
          <w:rFonts w:ascii="Arial" w:cs="Arial" w:eastAsia="Arial" w:hAnsi="Arial"/>
          <w:sz w:val="24"/>
          <w:szCs w:val="24"/>
        </w:rPr>
        <w:t xml:space="preserve">Der zweite Wandler ist der Mean Well DDR-60G-5 (U5), ein DC/DC-Wandler zur Erzeugung einer stabilisierten 5 V-Ausgangsspannung aus der 12 V-Eingangsspannung. Diese 5 V werden zur Versorgung des ESP32 DevKit C V4 (U1) verwendet. Der ESP32 ist als Mikrocontroller im System vorgesehen und wird über seinen 5V_IN-Anschluss gespeist.</w:t>
      </w:r>
    </w:p>
    <w:p>
      <w:pPr>
        <w:spacing w:after="200"/>
        <w:jc w:val="both"/>
      </w:pPr>
      <w:r>
        <w:rPr>
          <w:rFonts w:ascii="Arial" w:cs="Arial" w:eastAsia="Arial" w:hAnsi="Arial"/>
          <w:sz w:val="24"/>
          <w:szCs w:val="24"/>
        </w:rPr>
        <w:t xml:space="preserve">Durch die zweistufige Spannungsversorgungskette – 12 V-Bus → Orion 12/12-18 → Cerbo GX sowie 12 V-Bus → Mean Well DDR-60G-5 → ESP32 – ist eine zuverlässige und störungsarme Versorgung aller Steuereinheiten sichergestellt.</w:t>
      </w:r>
    </w:p>
    <w:p>
      <w:pPr>
        <w:pStyle w:val="Heading2"/>
      </w:pPr>
      <w:r>
        <w:t xml:space="preserve">4.9.4 Monitoring-Komponenten</w:t>
      </w:r>
    </w:p>
    <w:p>
      <w:pPr>
        <w:spacing w:after="160"/>
        <w:jc w:val="both"/>
      </w:pPr>
      <w:r>
        <w:rPr>
          <w:rFonts w:ascii="Arial" w:cs="Arial" w:eastAsia="Arial" w:hAnsi="Arial"/>
          <w:sz w:val="24"/>
          <w:szCs w:val="24"/>
        </w:rPr>
        <w:t xml:space="preserve">Das Monitoring-System des Energieversorgungssystems besteht aus drei miteinander verbundenen Komponenten, die eine vollständige Erfassung und Darstellung aller relevanten Energieparameter ermöglichen.</w:t>
      </w:r>
    </w:p>
    <w:p>
      <w:pPr>
        <w:spacing w:after="160"/>
        <w:jc w:val="both"/>
      </w:pPr>
      <w:r>
        <w:rPr>
          <w:rFonts w:ascii="Arial" w:cs="Arial" w:eastAsia="Arial" w:hAnsi="Arial"/>
          <w:sz w:val="24"/>
          <w:szCs w:val="24"/>
        </w:rPr>
        <w:t xml:space="preserve">Den Kern der Messerfassung bildet der Victron SmartShunt 500A (U4). Dieser ist als Shunt in den negativen Batteriepfad eingeschleift, wobei BAT_PLUS_IN den positiven Batteriepol und BAT_MINUS_OUT den negativen Ausgang in Richtung Verbraucher darstellen. Der SmartShunt misst kontinuierlich Strom, Spannung und den daraus berechneten Ladezustand (State of Charge, SoC) der Batterie. Die erfassten Messdaten werden über die VE.Direct-Schnittstelle an den Victron Cerbo GX übertragen.</w:t>
      </w:r>
    </w:p>
    <w:p>
      <w:pPr>
        <w:spacing w:after="160"/>
        <w:jc w:val="both"/>
      </w:pPr>
      <w:r>
        <w:rPr>
          <w:rFonts w:ascii="Arial" w:cs="Arial" w:eastAsia="Arial" w:hAnsi="Arial"/>
          <w:sz w:val="24"/>
          <w:szCs w:val="24"/>
        </w:rPr>
        <w:t xml:space="preserve">Der Victron Cerbo GX fungiert als zentrale Monitoring- und Kommunikationseinheit des Systems. Er wird über den Orion DC/DC-Wandler mit 12 V versorgt (12V_IN) und empfängt Daten vom MultiPlus über VE.Bus sowie vom SmartShunt über VE.Direct. Der Cerbo GX stellt alle gesammelten Energiedaten über das MQTT-Protokoll im lokalen Netzwerk bereit, sodass eine externe Weiterverarbeitung oder Visualisierung der Messwerte möglich ist.</w:t>
      </w:r>
    </w:p>
    <w:p>
      <w:pPr>
        <w:spacing w:after="200"/>
        <w:jc w:val="both"/>
      </w:pPr>
      <w:r>
        <w:rPr>
          <w:rFonts w:ascii="Arial" w:cs="Arial" w:eastAsia="Arial" w:hAnsi="Arial"/>
          <w:sz w:val="24"/>
          <w:szCs w:val="24"/>
        </w:rPr>
        <w:t xml:space="preserve">Als Anzeigeeinheit ist der GX Touch 50 (DISPLAY1) vorgesehen. Dieser ist über ein RJ45-Kabel direkt mit dem Cerbo GX verbunden (CONN) und zeigt in Echtzeit alle relevanten Systemparameter an, darunter Batteriespannung, Ladezustand, PV-Leistung und Verbraucherwerte. Eine separate Spannungsversorgung ist für den GX Touch 50 nicht erforderlich, da dieser seine Betriebsspannung direkt über die RJ45-Verbindung vom Cerbo GX bezieht.</w:t>
      </w:r>
    </w:p>
    <w:p>
      <w:pPr>
        <w:pStyle w:val="Heading2"/>
      </w:pPr>
      <w:r>
        <w:t xml:space="preserve">4.9.5 Schutzmaßnahmen und Absicherung</w:t>
      </w:r>
    </w:p>
    <w:p>
      <w:pPr>
        <w:spacing w:after="160"/>
        <w:jc w:val="both"/>
      </w:pPr>
      <w:r>
        <w:rPr>
          <w:rFonts w:ascii="Arial" w:cs="Arial" w:eastAsia="Arial" w:hAnsi="Arial"/>
          <w:sz w:val="24"/>
          <w:szCs w:val="24"/>
        </w:rPr>
        <w:t xml:space="preserve">Zum Schutz der Systemkomponenten vor Überstrom und Kurzschluss sind im Schaltplan zwei in Reihe geschaltete Sicherungselemente im positiven Batteriepfad vorgesehen. Diese befinden sich zwischen der AGM-Batterie und dem MultiPlus 12/800 und bilden damit die zentrale Schutzebene für den gesamten Leistungskreis.</w:t>
      </w:r>
    </w:p>
    <w:p>
      <w:pPr>
        <w:spacing w:after="160"/>
        <w:jc w:val="both"/>
      </w:pPr>
      <w:r>
        <w:rPr>
          <w:rFonts w:ascii="Arial" w:cs="Arial" w:eastAsia="Arial" w:hAnsi="Arial"/>
          <w:sz w:val="24"/>
          <w:szCs w:val="24"/>
        </w:rPr>
        <w:t xml:space="preserve">Die erste Sicherung (F1) ist eine 30 A Blade-Sicherung. Sie ist als schnell ansprechende Schmelzsicherung ausgeführt und bietet einen primären Schutz gegen Kurzschlussströme direkt am Batteriepol. Blade-Sicherungen zeichnen sich durch ihre kompakte Bauform und einfache Austauschbarkeit aus.</w:t>
      </w:r>
    </w:p>
    <w:p>
      <w:pPr>
        <w:spacing w:after="160"/>
        <w:jc w:val="both"/>
      </w:pPr>
      <w:r>
        <w:rPr>
          <w:rFonts w:ascii="Arial" w:cs="Arial" w:eastAsia="Arial" w:hAnsi="Arial"/>
          <w:sz w:val="24"/>
          <w:szCs w:val="24"/>
        </w:rPr>
        <w:t xml:space="preserve">Die zweite Sicherung (F2) ist ein Sicherungshalter mit ebenfalls 30 A Nennstrom (FUSE HOLDER 30A). Der Sicherungshalter ermöglicht einen sicheren und werkzeugfreien Austausch der Sicherung im Servicefall und ist für den Dauerbetrieb in einem 12 V-Gleichstromkreis ausgelegt.</w:t>
      </w:r>
    </w:p>
    <w:p>
      <w:pPr>
        <w:spacing w:after="200"/>
        <w:jc w:val="both"/>
      </w:pPr>
      <w:r>
        <w:rPr>
          <w:rFonts w:ascii="Arial" w:cs="Arial" w:eastAsia="Arial" w:hAnsi="Arial"/>
          <w:sz w:val="24"/>
          <w:szCs w:val="24"/>
        </w:rPr>
        <w:t xml:space="preserve">Die zweistufige Absicherung mit F1 und F2 entspricht einer bewährten Praxis im Bereich der Fahrzeug- und Solartechnik, bei der eine leitungsnahe Primärsicherung direkt am Batteriepol und eine sekundäre Gerätesicherung vor dem jeweiligen Verbraucher angeordnet werden. Dadurch wird sichergestellt, dass im Fehlerfall sowohl die Zuleitung als auch das angeschlossene Gerät (MultiPlus) geschützt sind.</w:t>
      </w:r>
    </w:p>
    <w:p>
      <w:pPr>
        <w:pStyle w:val="Heading1"/>
      </w:pPr>
      <w:r>
        <w:t xml:space="preserve">Quellenverzeichnis</w:t>
      </w:r>
    </w:p>
    <w:p>
      <w:pPr>
        <w:spacing w:after="120"/>
        <w:jc w:val="both"/>
      </w:pPr>
      <w:r>
        <w:rPr>
          <w:rFonts w:ascii="Arial" w:cs="Arial" w:eastAsia="Arial" w:hAnsi="Arial"/>
          <w:sz w:val="24"/>
          <w:szCs w:val="24"/>
        </w:rPr>
        <w:t xml:space="preserve">[1]	Victron Energy, „MultiPlus 12/800/35-16 Datenblatt,“ Victron Energy B.V. [Online]. Verfügbar: https://www.victronenergy.com/inverters-chargers/multiplus</w:t>
      </w:r>
    </w:p>
    <w:p>
      <w:pPr>
        <w:spacing w:after="120"/>
        <w:jc w:val="both"/>
      </w:pPr>
      <w:r>
        <w:rPr>
          <w:rFonts w:ascii="Arial" w:cs="Arial" w:eastAsia="Arial" w:hAnsi="Arial"/>
          <w:sz w:val="24"/>
          <w:szCs w:val="24"/>
        </w:rPr>
        <w:t xml:space="preserve">[2]	Victron Energy, „SmartShunt 500A Datenblatt,“ Victron Energy B.V. [Online]. Verfügbar: https://www.victronenergy.com/battery-monitors/smart-battery-shunt</w:t>
      </w:r>
    </w:p>
    <w:p>
      <w:pPr>
        <w:spacing w:after="120"/>
        <w:jc w:val="both"/>
      </w:pPr>
      <w:r>
        <w:rPr>
          <w:rFonts w:ascii="Arial" w:cs="Arial" w:eastAsia="Arial" w:hAnsi="Arial"/>
          <w:sz w:val="24"/>
          <w:szCs w:val="24"/>
        </w:rPr>
        <w:t xml:space="preserve">[3]	Victron Energy, „Cerbo GX Handbuch,“ Victron Energy B.V. [Online]. Verfügbar: https://www.victronenergy.com/communication-centres/cerbo-gx</w:t>
      </w:r>
    </w:p>
    <w:p>
      <w:pPr>
        <w:spacing w:after="120"/>
        <w:jc w:val="both"/>
      </w:pPr>
      <w:r>
        <w:rPr>
          <w:rFonts w:ascii="Arial" w:cs="Arial" w:eastAsia="Arial" w:hAnsi="Arial"/>
          <w:sz w:val="24"/>
          <w:szCs w:val="24"/>
        </w:rPr>
        <w:t xml:space="preserve">[4]	Victron Energy, „Orion-Tr Smart DC-DC Charger Datenblatt,“ Victron Energy B.V. [Online]. Verfügbar: https://www.victronenergy.com/dc-dc-converters/orion-tr-smart</w:t>
      </w:r>
    </w:p>
    <w:p>
      <w:pPr>
        <w:spacing w:after="120"/>
        <w:jc w:val="both"/>
      </w:pPr>
      <w:r>
        <w:rPr>
          <w:rFonts w:ascii="Arial" w:cs="Arial" w:eastAsia="Arial" w:hAnsi="Arial"/>
          <w:sz w:val="24"/>
          <w:szCs w:val="24"/>
        </w:rPr>
        <w:t xml:space="preserve">[5]	Mean Well, „DDR-60G-5 Datenblatt,“ Mean Well Enterprises Co., Ltd. [Online]. Verfügbar: https://www.meanwell.com/productPdf.aspx?i=459</w:t>
      </w:r>
    </w:p>
    <w:p>
      <w:pPr>
        <w:spacing w:after="120"/>
        <w:jc w:val="both"/>
      </w:pPr>
      <w:r>
        <w:rPr>
          <w:rFonts w:ascii="Arial" w:cs="Arial" w:eastAsia="Arial" w:hAnsi="Arial"/>
          <w:sz w:val="24"/>
          <w:szCs w:val="24"/>
        </w:rPr>
        <w:t xml:space="preserve">[6]	Espressif Systems, „ESP32 Series Datasheet,“ Espressif Systems (Shanghai) Co., Ltd. [Online]. Verfügbar: https://www.espressif.com/sites/default/files/documentation/esp32_datasheet_en.pdf</w:t>
      </w:r>
    </w:p>
    <w:p>
      <w:pPr>
        <w:spacing w:after="120"/>
        <w:jc w:val="both"/>
      </w:pPr>
      <w:r>
        <w:rPr>
          <w:rFonts w:ascii="Arial" w:cs="Arial" w:eastAsia="Arial" w:hAnsi="Arial"/>
          <w:sz w:val="24"/>
          <w:szCs w:val="24"/>
        </w:rPr>
        <w:t xml:space="preserve">[7]	KiCad EDA, „KiCad E.D.A. Version 9.0.5,“ KiCad Services Corporation. [Online]. Verfügbar: https://www.kicad.org</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2E4057"/>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2E4057"/>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2026-02-18T12:53:44.615Z</dcterms:created>
  <dcterms:modified xsi:type="dcterms:W3CDTF">2026-02-18T12:53:44.616Z</dcterms:modified>
</cp:coreProperties>
</file>

<file path=docProps/custom.xml><?xml version="1.0" encoding="utf-8"?>
<Properties xmlns="http://schemas.openxmlformats.org/officeDocument/2006/custom-properties" xmlns:vt="http://schemas.openxmlformats.org/officeDocument/2006/docPropsVTypes"/>
</file>