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D7935" w14:textId="77777777" w:rsidR="00137EDC" w:rsidRPr="00040FB0" w:rsidRDefault="00137EDC" w:rsidP="00137EDC">
      <w:pPr>
        <w:pStyle w:val="berschrift1"/>
      </w:pPr>
      <w:bookmarkStart w:id="0" w:name="_Toc222266676"/>
      <w:r w:rsidRPr="00040FB0">
        <w:t>4.5 Batterietechnologien im Vergleich</w:t>
      </w:r>
      <w:bookmarkEnd w:id="0"/>
    </w:p>
    <w:p w14:paraId="54FF96CE" w14:textId="77777777" w:rsidR="00137EDC" w:rsidRPr="00040FB0" w:rsidRDefault="00137EDC" w:rsidP="00137EDC">
      <w:pPr>
        <w:ind w:left="708"/>
        <w:jc w:val="both"/>
        <w:rPr>
          <w:rFonts w:cs="Arial"/>
        </w:rPr>
      </w:pPr>
      <w:r w:rsidRPr="00040FB0">
        <w:rPr>
          <w:rFonts w:cs="Arial"/>
        </w:rPr>
        <w:t>Die Auswahl der geeigneten Batterietechnologie hängt von verschiedenen Faktoren ab, darunter Anschaffungskosten, Lebensdauer, Gewicht, Betriebstemperaturbereich und nutzbare Kapazität. Für stationäre Anwendungen wie Gewächshäuser sind insbesondere Zyklenfestigkeit,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6C4951A6" w14:textId="77777777" w:rsidR="00137EDC" w:rsidRPr="00040FB0" w:rsidRDefault="00137EDC" w:rsidP="00137EDC">
      <w:pPr>
        <w:pStyle w:val="berschrift2"/>
      </w:pPr>
      <w:bookmarkStart w:id="1" w:name="_Toc222266677"/>
      <w:r w:rsidRPr="00040FB0">
        <w:t>4.5.1 Technische Eigenschaften der Batterietechnologien</w:t>
      </w:r>
      <w:bookmarkEnd w:id="1"/>
    </w:p>
    <w:p w14:paraId="53CE2DF6" w14:textId="77777777" w:rsidR="00137EDC" w:rsidRPr="00040FB0" w:rsidRDefault="00137EDC" w:rsidP="00137EDC">
      <w:pPr>
        <w:ind w:left="708"/>
        <w:jc w:val="both"/>
        <w:rPr>
          <w:rFonts w:cs="Arial"/>
        </w:rPr>
      </w:pPr>
      <w:r w:rsidRPr="00040FB0">
        <w:rPr>
          <w:rFonts w:cs="Arial"/>
        </w:rPr>
        <w:t xml:space="preserve">AGM (Absorbent Glass Mat): Bei AGM-Batterien ist der Elektrolyt in einem Glasfaservlies gebunden, wodurch sie wartungsfrei, auslaufsicher und lageunabhängig betrieben werden können </w:t>
      </w:r>
      <w:r>
        <w:rPr>
          <w:rFonts w:cs="Arial"/>
        </w:rPr>
        <w:fldChar w:fldCharType="begin"/>
      </w:r>
      <w:r>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Sie verfügen über einen niedrigen Innenwiderstand und sind für leistungsstarke Verbraucher geeignet. Die Zyklenfestigkeit liegt bei 500–600 Zyklen, die nutzbare Kapazität beträgt etwa 55</w:t>
      </w:r>
      <w:r>
        <w:rPr>
          <w:rFonts w:cs="Arial"/>
        </w:rPr>
        <w:t> </w:t>
      </w:r>
      <w:r w:rsidRPr="00040FB0">
        <w:rPr>
          <w:rFonts w:cs="Arial"/>
        </w:rPr>
        <w:t xml:space="preserve">% der Nennkapazität </w:t>
      </w:r>
      <w:r>
        <w:rPr>
          <w:rFonts w:cs="Arial"/>
        </w:rPr>
        <w:fldChar w:fldCharType="begin"/>
      </w:r>
      <w:r>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AGM-Batterien arbeiten zuverlässig im Temperaturbereich von -20 bis +40</w:t>
      </w:r>
      <w:r>
        <w:rPr>
          <w:rFonts w:cs="Arial"/>
        </w:rPr>
        <w:t> </w:t>
      </w:r>
      <w:r w:rsidRPr="00040FB0">
        <w:rPr>
          <w:rFonts w:cs="Arial"/>
        </w:rPr>
        <w:t xml:space="preserve">°C </w:t>
      </w:r>
      <w:r>
        <w:rPr>
          <w:rFonts w:cs="Arial"/>
        </w:rPr>
        <w:fldChar w:fldCharType="begin"/>
      </w:r>
      <w:r>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Das Gewicht beträgt 25–35</w:t>
      </w:r>
      <w:r>
        <w:rPr>
          <w:rFonts w:cs="Arial"/>
        </w:rPr>
        <w:t> </w:t>
      </w:r>
      <w:r w:rsidRPr="00040FB0">
        <w:rPr>
          <w:rFonts w:cs="Arial"/>
        </w:rPr>
        <w:t xml:space="preserve">kg pro nutzbarer Kilowattstunde </w:t>
      </w:r>
      <w:r>
        <w:rPr>
          <w:rFonts w:cs="Arial"/>
        </w:rPr>
        <w:fldChar w:fldCharType="begin"/>
      </w:r>
      <w:r>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E65553">
        <w:rPr>
          <w:rFonts w:ascii="Aptos" w:hAnsi="Aptos"/>
        </w:rPr>
        <w:t>[14]</w:t>
      </w:r>
      <w:r>
        <w:rPr>
          <w:rFonts w:cs="Arial"/>
        </w:rPr>
        <w:fldChar w:fldCharType="end"/>
      </w:r>
      <w:r w:rsidRPr="00040FB0">
        <w:rPr>
          <w:rFonts w:cs="Arial"/>
        </w:rPr>
        <w:t>. AGM Super Cycle Varianten erreichen durch spezielle Bleilegierungen mindestens 300 Zyklen bei 100</w:t>
      </w:r>
      <w:r>
        <w:rPr>
          <w:rFonts w:cs="Arial"/>
        </w:rPr>
        <w:t> </w:t>
      </w:r>
      <w:r w:rsidRPr="00040FB0">
        <w:rPr>
          <w:rFonts w:cs="Arial"/>
        </w:rPr>
        <w:t>% Entladetiefe und mindestens 700 Zyklen bei 60</w:t>
      </w:r>
      <w:r>
        <w:rPr>
          <w:rFonts w:cs="Arial"/>
        </w:rPr>
        <w:t> </w:t>
      </w:r>
      <w:r w:rsidRPr="00040FB0">
        <w:rPr>
          <w:rFonts w:cs="Arial"/>
        </w:rPr>
        <w:t xml:space="preserve">% Entladetiefe </w:t>
      </w:r>
      <w:r>
        <w:rPr>
          <w:rFonts w:cs="Arial"/>
        </w:rPr>
        <w:fldChar w:fldCharType="begin"/>
      </w:r>
      <w:r>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E65553">
        <w:rPr>
          <w:rFonts w:ascii="Aptos" w:hAnsi="Aptos"/>
        </w:rPr>
        <w:t>[10]</w:t>
      </w:r>
      <w:r>
        <w:rPr>
          <w:rFonts w:cs="Arial"/>
        </w:rPr>
        <w:fldChar w:fldCharType="end"/>
      </w:r>
      <w:r w:rsidRPr="00040FB0">
        <w:rPr>
          <w:rFonts w:cs="Arial"/>
        </w:rPr>
        <w:t>.</w:t>
      </w:r>
    </w:p>
    <w:p w14:paraId="27C61C7F" w14:textId="77777777" w:rsidR="00137EDC" w:rsidRPr="00040FB0" w:rsidRDefault="00137EDC" w:rsidP="00137EDC">
      <w:pPr>
        <w:ind w:left="708"/>
        <w:jc w:val="both"/>
        <w:rPr>
          <w:rFonts w:cs="Arial"/>
        </w:rPr>
      </w:pPr>
      <w:r w:rsidRPr="00040FB0">
        <w:rPr>
          <w:rFonts w:cs="Arial"/>
        </w:rPr>
        <w:t>Gel-Batterien: Bei Gel-Batterien ist der Elektrolyt durch Zugabe von Kieselerde gelartig verdickt</w:t>
      </w:r>
      <w:r>
        <w:rPr>
          <w:rFonts w:cs="Arial"/>
        </w:rPr>
        <w:t xml:space="preserve"> </w:t>
      </w:r>
      <w:r>
        <w:rPr>
          <w:rFonts w:cs="Arial"/>
        </w:rPr>
        <w:fldChar w:fldCharType="begin"/>
      </w:r>
      <w:r>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Sie bieten eine höhere Tiefentladefestigkeit als AGM-Batterien und erreichen 700–800 Zyklen bei 65</w:t>
      </w:r>
      <w:r>
        <w:rPr>
          <w:rFonts w:cs="Arial"/>
        </w:rPr>
        <w:t> </w:t>
      </w:r>
      <w:r w:rsidRPr="00040FB0">
        <w:rPr>
          <w:rFonts w:cs="Arial"/>
        </w:rPr>
        <w:t xml:space="preserve">% nutzbarer Kapazität </w:t>
      </w:r>
      <w:r>
        <w:rPr>
          <w:rFonts w:cs="Arial"/>
        </w:rPr>
        <w:fldChar w:fldCharType="begin"/>
      </w:r>
      <w:r>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Pr>
          <w:rFonts w:cs="Arial"/>
        </w:rPr>
        <w:fldChar w:fldCharType="begin"/>
      </w:r>
      <w:r>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Der Betriebstemperaturbereich liegt ebenfalls bei -20 bis +40</w:t>
      </w:r>
      <w:r>
        <w:rPr>
          <w:rFonts w:cs="Arial"/>
        </w:rPr>
        <w:t> </w:t>
      </w:r>
      <w:r w:rsidRPr="00040FB0">
        <w:rPr>
          <w:rFonts w:cs="Arial"/>
        </w:rPr>
        <w:t xml:space="preserve">°C </w:t>
      </w:r>
      <w:r>
        <w:rPr>
          <w:rFonts w:cs="Arial"/>
        </w:rPr>
        <w:fldChar w:fldCharType="begin"/>
      </w:r>
      <w:r>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Sie sind empfindlicher gegenüber hohen Ladeströmen und erfordern präzise Ladespannungen, um irreversible Schädigungen zu vermeiden.</w:t>
      </w:r>
    </w:p>
    <w:p w14:paraId="763FFDB7" w14:textId="77777777" w:rsidR="00137EDC" w:rsidRPr="00040FB0" w:rsidRDefault="00137EDC" w:rsidP="00137EDC">
      <w:pPr>
        <w:ind w:left="708"/>
        <w:jc w:val="both"/>
        <w:rPr>
          <w:rFonts w:cs="Arial"/>
        </w:rPr>
      </w:pPr>
      <w:r w:rsidRPr="00040FB0">
        <w:rPr>
          <w:rFonts w:cs="Arial"/>
        </w:rPr>
        <w:t>Lithium-Ionen: Lithium-Ionen-Batterien bieten eine hohe Energiedichte und erreichen deutlich mehr Ladezyklen als Blei-Batterien. Sie sind jedoch empfindlich gegenüber Tiefentladung und Überladung, weshalb ein Battery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0FF53D8F" w14:textId="77777777" w:rsidR="00137EDC" w:rsidRPr="00040FB0" w:rsidRDefault="00137EDC" w:rsidP="00137EDC">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Pr>
          <w:rFonts w:cs="Arial"/>
        </w:rPr>
        <w:fldChar w:fldCharType="begin"/>
      </w:r>
      <w:r>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E65553">
        <w:rPr>
          <w:rFonts w:ascii="Aptos" w:hAnsi="Aptos"/>
        </w:rPr>
        <w:t>[13]</w:t>
      </w:r>
      <w:r>
        <w:rPr>
          <w:rFonts w:cs="Arial"/>
        </w:rPr>
        <w:fldChar w:fldCharType="end"/>
      </w:r>
      <w:r w:rsidRPr="00040FB0">
        <w:rPr>
          <w:rFonts w:cs="Arial"/>
        </w:rPr>
        <w:t>. Sie erreichen mindestens 4000 Zyklen bei 80</w:t>
      </w:r>
      <w:r>
        <w:rPr>
          <w:rFonts w:cs="Arial"/>
        </w:rPr>
        <w:t> </w:t>
      </w:r>
      <w:r w:rsidRPr="00040FB0">
        <w:rPr>
          <w:rFonts w:cs="Arial"/>
        </w:rPr>
        <w:t xml:space="preserve">% Entladetiefe und bieten eine nahezu </w:t>
      </w:r>
      <w:r>
        <w:rPr>
          <w:rFonts w:cs="Arial"/>
        </w:rPr>
        <w:t>hundertprozentig</w:t>
      </w:r>
      <w:r w:rsidRPr="00040FB0">
        <w:rPr>
          <w:rFonts w:cs="Arial"/>
        </w:rPr>
        <w:t xml:space="preserve"> nutzbare Kapazität</w:t>
      </w:r>
      <w:r>
        <w:rPr>
          <w:rFonts w:cs="Arial"/>
        </w:rPr>
        <w:t xml:space="preserve"> </w:t>
      </w:r>
      <w:r>
        <w:rPr>
          <w:rFonts w:cs="Arial"/>
        </w:rPr>
        <w:fldChar w:fldCharType="begin"/>
      </w:r>
      <w:r>
        <w:rPr>
          <w:rFonts w:cs="Arial"/>
        </w:rPr>
        <w:instrText xml:space="preserve"> ADDIN ZOTERO_ITEM CSL_CITATION {"citationID":"Ezjmnqw7","properties":{"formattedCitation":"[13],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E65553">
        <w:rPr>
          <w:rFonts w:ascii="Aptos" w:hAnsi="Aptos"/>
        </w:rPr>
        <w:t>[13][14]</w:t>
      </w:r>
      <w:r>
        <w:rPr>
          <w:rFonts w:cs="Arial"/>
        </w:rPr>
        <w:fldChar w:fldCharType="end"/>
      </w:r>
      <w:r w:rsidRPr="00040FB0">
        <w:rPr>
          <w:rFonts w:cs="Arial"/>
        </w:rPr>
        <w:t>. Das Gewicht liegt bei 8–10</w:t>
      </w:r>
      <w:r>
        <w:rPr>
          <w:rFonts w:cs="Arial"/>
        </w:rPr>
        <w:t> </w:t>
      </w:r>
      <w:r w:rsidRPr="00040FB0">
        <w:rPr>
          <w:rFonts w:cs="Arial"/>
        </w:rPr>
        <w:t>kg pro nutzbarer Kilowattstunde und damit bei etwa 3</w:t>
      </w:r>
      <w:r>
        <w:rPr>
          <w:rFonts w:cs="Arial"/>
        </w:rPr>
        <w:t>0 </w:t>
      </w:r>
      <w:r w:rsidRPr="00040FB0">
        <w:rPr>
          <w:rFonts w:cs="Arial"/>
        </w:rPr>
        <w:t xml:space="preserve">% des Gewichts von Blei-Batterien </w:t>
      </w:r>
      <w:r>
        <w:rPr>
          <w:rFonts w:cs="Arial"/>
        </w:rPr>
        <w:fldChar w:fldCharType="begin"/>
      </w:r>
      <w:r>
        <w:rPr>
          <w:rFonts w:cs="Arial"/>
        </w:rPr>
        <w:instrText xml:space="preserve"> ADDIN ZOTERO_ITEM CSL_CITATION {"citationID":"XqOC7tlL","properties":{"formattedCitation":"[13],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434D65">
        <w:rPr>
          <w:rFonts w:ascii="Aptos" w:hAnsi="Aptos"/>
        </w:rPr>
        <w:t>[13][14]</w:t>
      </w:r>
      <w:r>
        <w:rPr>
          <w:rFonts w:cs="Arial"/>
        </w:rPr>
        <w:fldChar w:fldCharType="end"/>
      </w:r>
      <w:r w:rsidRPr="00040FB0">
        <w:rPr>
          <w:rFonts w:cs="Arial"/>
        </w:rPr>
        <w:t>. Der Betriebstemperaturbereich reicht von -20 bis +60</w:t>
      </w:r>
      <w:r>
        <w:rPr>
          <w:rFonts w:cs="Arial"/>
        </w:rPr>
        <w:t> </w:t>
      </w:r>
      <w:r w:rsidRPr="00040FB0">
        <w:rPr>
          <w:rFonts w:cs="Arial"/>
        </w:rPr>
        <w:t xml:space="preserve">°C </w:t>
      </w:r>
      <w:r>
        <w:rPr>
          <w:rFonts w:cs="Arial"/>
        </w:rPr>
        <w:fldChar w:fldCharType="begin"/>
      </w:r>
      <w:r>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434D65">
        <w:rPr>
          <w:rFonts w:ascii="Aptos" w:hAnsi="Aptos"/>
        </w:rPr>
        <w:t>[13]</w:t>
      </w:r>
      <w:r>
        <w:rPr>
          <w:rFonts w:cs="Arial"/>
        </w:rPr>
        <w:fldChar w:fldCharType="end"/>
      </w:r>
      <w:r w:rsidRPr="00040FB0">
        <w:rPr>
          <w:rFonts w:cs="Arial"/>
        </w:rPr>
        <w:t xml:space="preserve">. Ein integriertes BMS überwacht Ladung, Entladung und Sicherheitsfunktionen </w:t>
      </w:r>
      <w:r>
        <w:rPr>
          <w:rFonts w:cs="Arial"/>
        </w:rPr>
        <w:fldChar w:fldCharType="begin"/>
      </w:r>
      <w:r>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Pr>
          <w:rFonts w:cs="Arial"/>
        </w:rPr>
        <w:fldChar w:fldCharType="separate"/>
      </w:r>
      <w:r w:rsidRPr="00434D65">
        <w:rPr>
          <w:rFonts w:ascii="Aptos" w:hAnsi="Aptos"/>
        </w:rPr>
        <w:t>[13]</w:t>
      </w:r>
      <w:r>
        <w:rPr>
          <w:rFonts w:cs="Arial"/>
        </w:rPr>
        <w:fldChar w:fldCharType="end"/>
      </w:r>
      <w:r w:rsidRPr="00040FB0">
        <w:rPr>
          <w:rFonts w:cs="Arial"/>
        </w:rPr>
        <w:t xml:space="preserve">. Die Lebensdauer liegt deutlich über 10 Jahren </w:t>
      </w:r>
      <w:r>
        <w:rPr>
          <w:rFonts w:cs="Arial"/>
        </w:rPr>
        <w:fldChar w:fldCharType="begin"/>
      </w:r>
      <w:r>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434D65">
        <w:rPr>
          <w:rFonts w:ascii="Aptos" w:hAnsi="Aptos"/>
        </w:rPr>
        <w:t>[14]</w:t>
      </w:r>
      <w:r>
        <w:rPr>
          <w:rFonts w:cs="Arial"/>
        </w:rPr>
        <w:fldChar w:fldCharType="end"/>
      </w:r>
      <w:r w:rsidRPr="00040FB0">
        <w:rPr>
          <w:rFonts w:cs="Arial"/>
        </w:rPr>
        <w:t>.</w:t>
      </w:r>
    </w:p>
    <w:p w14:paraId="4E4755F7" w14:textId="77777777" w:rsidR="00137EDC" w:rsidRPr="00040FB0" w:rsidRDefault="00137EDC" w:rsidP="00137EDC">
      <w:pPr>
        <w:pStyle w:val="berschrift2"/>
      </w:pPr>
      <w:bookmarkStart w:id="2" w:name="_Toc222266678"/>
      <w:r w:rsidRPr="00040FB0">
        <w:lastRenderedPageBreak/>
        <w:t>4.5.2 Vergleich und Auswahlbegründung</w:t>
      </w:r>
      <w:bookmarkEnd w:id="2"/>
    </w:p>
    <w:tbl>
      <w:tblPr>
        <w:tblpPr w:leftFromText="141" w:rightFromText="141" w:vertAnchor="text" w:horzAnchor="margin" w:tblpXSpec="center" w:tblpY="410"/>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1373"/>
        <w:gridCol w:w="1373"/>
        <w:gridCol w:w="2241"/>
      </w:tblGrid>
      <w:tr w:rsidR="00137EDC" w:rsidRPr="00040FB0" w14:paraId="00A3E754" w14:textId="77777777" w:rsidTr="00AE7D30">
        <w:trPr>
          <w:tblHeader/>
          <w:tblCellSpacing w:w="15" w:type="dxa"/>
        </w:trPr>
        <w:tc>
          <w:tcPr>
            <w:tcW w:w="0" w:type="auto"/>
            <w:vAlign w:val="center"/>
            <w:hideMark/>
          </w:tcPr>
          <w:p w14:paraId="21B9B55B" w14:textId="77777777" w:rsidR="00137EDC" w:rsidRPr="00040FB0" w:rsidRDefault="00137EDC" w:rsidP="00AE7D30">
            <w:pPr>
              <w:rPr>
                <w:rFonts w:cs="Arial"/>
              </w:rPr>
            </w:pPr>
            <w:r w:rsidRPr="00040FB0">
              <w:rPr>
                <w:rFonts w:cs="Arial"/>
              </w:rPr>
              <w:t>Kriterium</w:t>
            </w:r>
          </w:p>
        </w:tc>
        <w:tc>
          <w:tcPr>
            <w:tcW w:w="0" w:type="auto"/>
            <w:vAlign w:val="center"/>
            <w:hideMark/>
          </w:tcPr>
          <w:p w14:paraId="6C6F289E" w14:textId="77777777" w:rsidR="00137EDC" w:rsidRPr="00040FB0" w:rsidRDefault="00137EDC" w:rsidP="00AE7D30">
            <w:pPr>
              <w:rPr>
                <w:rFonts w:cs="Arial"/>
              </w:rPr>
            </w:pPr>
            <w:r w:rsidRPr="00040FB0">
              <w:rPr>
                <w:rFonts w:cs="Arial"/>
              </w:rPr>
              <w:t>AGM</w:t>
            </w:r>
          </w:p>
        </w:tc>
        <w:tc>
          <w:tcPr>
            <w:tcW w:w="0" w:type="auto"/>
            <w:vAlign w:val="center"/>
            <w:hideMark/>
          </w:tcPr>
          <w:p w14:paraId="7F7616F4" w14:textId="77777777" w:rsidR="00137EDC" w:rsidRPr="00040FB0" w:rsidRDefault="00137EDC" w:rsidP="00AE7D30">
            <w:pPr>
              <w:rPr>
                <w:rFonts w:cs="Arial"/>
              </w:rPr>
            </w:pPr>
            <w:r w:rsidRPr="00040FB0">
              <w:rPr>
                <w:rFonts w:cs="Arial"/>
              </w:rPr>
              <w:t>Gel</w:t>
            </w:r>
          </w:p>
        </w:tc>
        <w:tc>
          <w:tcPr>
            <w:tcW w:w="0" w:type="auto"/>
            <w:vAlign w:val="center"/>
            <w:hideMark/>
          </w:tcPr>
          <w:p w14:paraId="705B7BA9" w14:textId="77777777" w:rsidR="00137EDC" w:rsidRPr="00040FB0" w:rsidRDefault="00137EDC" w:rsidP="00AE7D30">
            <w:pPr>
              <w:rPr>
                <w:rFonts w:cs="Arial"/>
              </w:rPr>
            </w:pPr>
            <w:r w:rsidRPr="00040FB0">
              <w:rPr>
                <w:rFonts w:cs="Arial"/>
              </w:rPr>
              <w:t>LiFePO4</w:t>
            </w:r>
          </w:p>
        </w:tc>
      </w:tr>
      <w:tr w:rsidR="00137EDC" w:rsidRPr="00040FB0" w14:paraId="388AEC4B" w14:textId="77777777" w:rsidTr="00AE7D30">
        <w:trPr>
          <w:tblCellSpacing w:w="15" w:type="dxa"/>
        </w:trPr>
        <w:tc>
          <w:tcPr>
            <w:tcW w:w="0" w:type="auto"/>
            <w:vAlign w:val="center"/>
            <w:hideMark/>
          </w:tcPr>
          <w:p w14:paraId="2AEE2868" w14:textId="77777777" w:rsidR="00137EDC" w:rsidRPr="00040FB0" w:rsidRDefault="00137EDC" w:rsidP="00AE7D30">
            <w:pPr>
              <w:rPr>
                <w:rFonts w:cs="Arial"/>
              </w:rPr>
            </w:pPr>
            <w:r w:rsidRPr="00040FB0">
              <w:rPr>
                <w:rFonts w:cs="Arial"/>
              </w:rPr>
              <w:t>Nutzbare Kapazität</w:t>
            </w:r>
          </w:p>
        </w:tc>
        <w:tc>
          <w:tcPr>
            <w:tcW w:w="0" w:type="auto"/>
            <w:vAlign w:val="center"/>
            <w:hideMark/>
          </w:tcPr>
          <w:p w14:paraId="0D90DBAD" w14:textId="77777777" w:rsidR="00137EDC" w:rsidRPr="00040FB0" w:rsidRDefault="00137EDC" w:rsidP="00AE7D30">
            <w:pPr>
              <w:rPr>
                <w:rFonts w:cs="Arial"/>
              </w:rPr>
            </w:pPr>
            <w:r w:rsidRPr="00040FB0">
              <w:rPr>
                <w:rFonts w:cs="Arial"/>
              </w:rPr>
              <w:t>55</w:t>
            </w:r>
            <w:r>
              <w:rPr>
                <w:rFonts w:cs="Arial"/>
              </w:rPr>
              <w:t> </w:t>
            </w:r>
            <w:r w:rsidRPr="00040FB0">
              <w:rPr>
                <w:rFonts w:cs="Arial"/>
              </w:rPr>
              <w:t>%</w:t>
            </w:r>
          </w:p>
        </w:tc>
        <w:tc>
          <w:tcPr>
            <w:tcW w:w="0" w:type="auto"/>
            <w:vAlign w:val="center"/>
            <w:hideMark/>
          </w:tcPr>
          <w:p w14:paraId="09483C2D" w14:textId="77777777" w:rsidR="00137EDC" w:rsidRPr="00040FB0" w:rsidRDefault="00137EDC" w:rsidP="00AE7D30">
            <w:pPr>
              <w:rPr>
                <w:rFonts w:cs="Arial"/>
              </w:rPr>
            </w:pPr>
            <w:r w:rsidRPr="00040FB0">
              <w:rPr>
                <w:rFonts w:cs="Arial"/>
              </w:rPr>
              <w:t>65</w:t>
            </w:r>
            <w:r>
              <w:rPr>
                <w:rFonts w:cs="Arial"/>
              </w:rPr>
              <w:t> </w:t>
            </w:r>
            <w:r w:rsidRPr="00040FB0">
              <w:rPr>
                <w:rFonts w:cs="Arial"/>
              </w:rPr>
              <w:t>%</w:t>
            </w:r>
          </w:p>
        </w:tc>
        <w:tc>
          <w:tcPr>
            <w:tcW w:w="0" w:type="auto"/>
            <w:vAlign w:val="center"/>
            <w:hideMark/>
          </w:tcPr>
          <w:p w14:paraId="33394EA5" w14:textId="77777777" w:rsidR="00137EDC" w:rsidRPr="00040FB0" w:rsidRDefault="00137EDC" w:rsidP="00AE7D30">
            <w:pPr>
              <w:rPr>
                <w:rFonts w:cs="Arial"/>
              </w:rPr>
            </w:pPr>
            <w:r w:rsidRPr="00040FB0">
              <w:rPr>
                <w:rFonts w:cs="Arial"/>
              </w:rPr>
              <w:t>100</w:t>
            </w:r>
            <w:r>
              <w:rPr>
                <w:rFonts w:cs="Arial"/>
              </w:rPr>
              <w:t> </w:t>
            </w:r>
            <w:r w:rsidRPr="00040FB0">
              <w:rPr>
                <w:rFonts w:cs="Arial"/>
              </w:rPr>
              <w:t>%</w:t>
            </w:r>
          </w:p>
        </w:tc>
      </w:tr>
      <w:tr w:rsidR="00137EDC" w:rsidRPr="00040FB0" w14:paraId="1F50DC6D" w14:textId="77777777" w:rsidTr="00AE7D30">
        <w:trPr>
          <w:tblCellSpacing w:w="15" w:type="dxa"/>
        </w:trPr>
        <w:tc>
          <w:tcPr>
            <w:tcW w:w="0" w:type="auto"/>
            <w:vAlign w:val="center"/>
            <w:hideMark/>
          </w:tcPr>
          <w:p w14:paraId="4497BAFF" w14:textId="77777777" w:rsidR="00137EDC" w:rsidRPr="00040FB0" w:rsidRDefault="00137EDC" w:rsidP="00AE7D30">
            <w:pPr>
              <w:rPr>
                <w:rFonts w:cs="Arial"/>
              </w:rPr>
            </w:pPr>
            <w:r w:rsidRPr="00040FB0">
              <w:rPr>
                <w:rFonts w:cs="Arial"/>
              </w:rPr>
              <w:t>Zyklenzahl</w:t>
            </w:r>
          </w:p>
        </w:tc>
        <w:tc>
          <w:tcPr>
            <w:tcW w:w="0" w:type="auto"/>
            <w:vAlign w:val="center"/>
            <w:hideMark/>
          </w:tcPr>
          <w:p w14:paraId="0BED9E35" w14:textId="77777777" w:rsidR="00137EDC" w:rsidRPr="00040FB0" w:rsidRDefault="00137EDC" w:rsidP="00AE7D30">
            <w:pPr>
              <w:rPr>
                <w:rFonts w:cs="Arial"/>
              </w:rPr>
            </w:pPr>
            <w:r w:rsidRPr="00040FB0">
              <w:rPr>
                <w:rFonts w:cs="Arial"/>
              </w:rPr>
              <w:t>500–600</w:t>
            </w:r>
          </w:p>
        </w:tc>
        <w:tc>
          <w:tcPr>
            <w:tcW w:w="0" w:type="auto"/>
            <w:vAlign w:val="center"/>
            <w:hideMark/>
          </w:tcPr>
          <w:p w14:paraId="35DB1B5D" w14:textId="77777777" w:rsidR="00137EDC" w:rsidRPr="00040FB0" w:rsidRDefault="00137EDC" w:rsidP="00AE7D30">
            <w:pPr>
              <w:rPr>
                <w:rFonts w:cs="Arial"/>
              </w:rPr>
            </w:pPr>
            <w:r w:rsidRPr="00040FB0">
              <w:rPr>
                <w:rFonts w:cs="Arial"/>
              </w:rPr>
              <w:t>700–800</w:t>
            </w:r>
          </w:p>
        </w:tc>
        <w:tc>
          <w:tcPr>
            <w:tcW w:w="0" w:type="auto"/>
            <w:vAlign w:val="center"/>
            <w:hideMark/>
          </w:tcPr>
          <w:p w14:paraId="31B59CE5" w14:textId="77777777" w:rsidR="00137EDC" w:rsidRPr="00040FB0" w:rsidRDefault="00137EDC" w:rsidP="00AE7D30">
            <w:pPr>
              <w:rPr>
                <w:rFonts w:cs="Arial"/>
              </w:rPr>
            </w:pPr>
            <w:r w:rsidRPr="00040FB0">
              <w:rPr>
                <w:rFonts w:cs="Arial"/>
              </w:rPr>
              <w:t>mind. 4000 (80</w:t>
            </w:r>
            <w:r>
              <w:rPr>
                <w:rFonts w:cs="Arial"/>
              </w:rPr>
              <w:t> </w:t>
            </w:r>
            <w:r w:rsidRPr="00040FB0">
              <w:rPr>
                <w:rFonts w:cs="Arial"/>
              </w:rPr>
              <w:t>% DoD)</w:t>
            </w:r>
          </w:p>
        </w:tc>
      </w:tr>
      <w:tr w:rsidR="00137EDC" w:rsidRPr="00040FB0" w14:paraId="33962291" w14:textId="77777777" w:rsidTr="00AE7D30">
        <w:trPr>
          <w:tblCellSpacing w:w="15" w:type="dxa"/>
        </w:trPr>
        <w:tc>
          <w:tcPr>
            <w:tcW w:w="0" w:type="auto"/>
            <w:vAlign w:val="center"/>
            <w:hideMark/>
          </w:tcPr>
          <w:p w14:paraId="7C251643" w14:textId="77777777" w:rsidR="00137EDC" w:rsidRPr="00040FB0" w:rsidRDefault="00137EDC" w:rsidP="00AE7D30">
            <w:pPr>
              <w:rPr>
                <w:rFonts w:cs="Arial"/>
              </w:rPr>
            </w:pPr>
            <w:r w:rsidRPr="00040FB0">
              <w:rPr>
                <w:rFonts w:cs="Arial"/>
              </w:rPr>
              <w:t>Gewicht (kg/kWh)</w:t>
            </w:r>
          </w:p>
        </w:tc>
        <w:tc>
          <w:tcPr>
            <w:tcW w:w="0" w:type="auto"/>
            <w:vAlign w:val="center"/>
            <w:hideMark/>
          </w:tcPr>
          <w:p w14:paraId="35D41249" w14:textId="77777777" w:rsidR="00137EDC" w:rsidRPr="00040FB0" w:rsidRDefault="00137EDC" w:rsidP="00AE7D30">
            <w:pPr>
              <w:rPr>
                <w:rFonts w:cs="Arial"/>
              </w:rPr>
            </w:pPr>
            <w:r w:rsidRPr="00040FB0">
              <w:rPr>
                <w:rFonts w:cs="Arial"/>
              </w:rPr>
              <w:t>25–35</w:t>
            </w:r>
          </w:p>
        </w:tc>
        <w:tc>
          <w:tcPr>
            <w:tcW w:w="0" w:type="auto"/>
            <w:vAlign w:val="center"/>
            <w:hideMark/>
          </w:tcPr>
          <w:p w14:paraId="23CE3D6F" w14:textId="77777777" w:rsidR="00137EDC" w:rsidRPr="00040FB0" w:rsidRDefault="00137EDC" w:rsidP="00AE7D30">
            <w:pPr>
              <w:rPr>
                <w:rFonts w:cs="Arial"/>
              </w:rPr>
            </w:pPr>
            <w:r w:rsidRPr="00040FB0">
              <w:rPr>
                <w:rFonts w:cs="Arial"/>
              </w:rPr>
              <w:t>25–35</w:t>
            </w:r>
          </w:p>
        </w:tc>
        <w:tc>
          <w:tcPr>
            <w:tcW w:w="0" w:type="auto"/>
            <w:vAlign w:val="center"/>
            <w:hideMark/>
          </w:tcPr>
          <w:p w14:paraId="3A1786AB" w14:textId="77777777" w:rsidR="00137EDC" w:rsidRPr="00040FB0" w:rsidRDefault="00137EDC" w:rsidP="00AE7D30">
            <w:pPr>
              <w:rPr>
                <w:rFonts w:cs="Arial"/>
              </w:rPr>
            </w:pPr>
            <w:r w:rsidRPr="00040FB0">
              <w:rPr>
                <w:rFonts w:cs="Arial"/>
              </w:rPr>
              <w:t>8–10</w:t>
            </w:r>
          </w:p>
        </w:tc>
      </w:tr>
      <w:tr w:rsidR="00137EDC" w:rsidRPr="00040FB0" w14:paraId="2728CA7C" w14:textId="77777777" w:rsidTr="00AE7D30">
        <w:trPr>
          <w:tblCellSpacing w:w="15" w:type="dxa"/>
        </w:trPr>
        <w:tc>
          <w:tcPr>
            <w:tcW w:w="0" w:type="auto"/>
            <w:vAlign w:val="center"/>
            <w:hideMark/>
          </w:tcPr>
          <w:p w14:paraId="21B8E35A" w14:textId="77777777" w:rsidR="00137EDC" w:rsidRPr="00040FB0" w:rsidRDefault="00137EDC" w:rsidP="00AE7D30">
            <w:pPr>
              <w:rPr>
                <w:rFonts w:cs="Arial"/>
              </w:rPr>
            </w:pPr>
            <w:r w:rsidRPr="00040FB0">
              <w:rPr>
                <w:rFonts w:cs="Arial"/>
              </w:rPr>
              <w:t>Temperaturbereich</w:t>
            </w:r>
          </w:p>
        </w:tc>
        <w:tc>
          <w:tcPr>
            <w:tcW w:w="0" w:type="auto"/>
            <w:vAlign w:val="center"/>
            <w:hideMark/>
          </w:tcPr>
          <w:p w14:paraId="4CF6C2E5" w14:textId="77777777" w:rsidR="00137EDC" w:rsidRPr="00040FB0" w:rsidRDefault="00137EDC" w:rsidP="00AE7D30">
            <w:pPr>
              <w:rPr>
                <w:rFonts w:cs="Arial"/>
              </w:rPr>
            </w:pPr>
            <w:r w:rsidRPr="00040FB0">
              <w:rPr>
                <w:rFonts w:cs="Arial"/>
              </w:rPr>
              <w:t>-20 bis +40</w:t>
            </w:r>
            <w:r>
              <w:rPr>
                <w:rFonts w:cs="Arial"/>
              </w:rPr>
              <w:t> </w:t>
            </w:r>
            <w:r w:rsidRPr="00040FB0">
              <w:rPr>
                <w:rFonts w:cs="Arial"/>
              </w:rPr>
              <w:t>°C</w:t>
            </w:r>
          </w:p>
        </w:tc>
        <w:tc>
          <w:tcPr>
            <w:tcW w:w="0" w:type="auto"/>
            <w:vAlign w:val="center"/>
            <w:hideMark/>
          </w:tcPr>
          <w:p w14:paraId="319FA4CF" w14:textId="77777777" w:rsidR="00137EDC" w:rsidRPr="00040FB0" w:rsidRDefault="00137EDC" w:rsidP="00AE7D30">
            <w:pPr>
              <w:rPr>
                <w:rFonts w:cs="Arial"/>
              </w:rPr>
            </w:pPr>
            <w:r w:rsidRPr="00040FB0">
              <w:rPr>
                <w:rFonts w:cs="Arial"/>
              </w:rPr>
              <w:t>-20 bis +40</w:t>
            </w:r>
            <w:r>
              <w:rPr>
                <w:rFonts w:cs="Arial"/>
              </w:rPr>
              <w:t> </w:t>
            </w:r>
            <w:r w:rsidRPr="00040FB0">
              <w:rPr>
                <w:rFonts w:cs="Arial"/>
              </w:rPr>
              <w:t xml:space="preserve">°C </w:t>
            </w:r>
          </w:p>
        </w:tc>
        <w:tc>
          <w:tcPr>
            <w:tcW w:w="0" w:type="auto"/>
            <w:vAlign w:val="center"/>
            <w:hideMark/>
          </w:tcPr>
          <w:p w14:paraId="548255F7" w14:textId="77777777" w:rsidR="00137EDC" w:rsidRPr="00040FB0" w:rsidRDefault="00137EDC" w:rsidP="00AE7D30">
            <w:pPr>
              <w:rPr>
                <w:rFonts w:cs="Arial"/>
              </w:rPr>
            </w:pPr>
            <w:r w:rsidRPr="00040FB0">
              <w:rPr>
                <w:rFonts w:cs="Arial"/>
              </w:rPr>
              <w:t>-20 bis +60</w:t>
            </w:r>
            <w:r>
              <w:rPr>
                <w:rFonts w:cs="Arial"/>
              </w:rPr>
              <w:t> </w:t>
            </w:r>
            <w:r w:rsidRPr="00040FB0">
              <w:rPr>
                <w:rFonts w:cs="Arial"/>
              </w:rPr>
              <w:t>°C</w:t>
            </w:r>
          </w:p>
        </w:tc>
      </w:tr>
      <w:tr w:rsidR="00137EDC" w:rsidRPr="00040FB0" w14:paraId="1AC7284C" w14:textId="77777777" w:rsidTr="00AE7D30">
        <w:trPr>
          <w:tblCellSpacing w:w="15" w:type="dxa"/>
        </w:trPr>
        <w:tc>
          <w:tcPr>
            <w:tcW w:w="0" w:type="auto"/>
            <w:vAlign w:val="center"/>
            <w:hideMark/>
          </w:tcPr>
          <w:p w14:paraId="62ECC425" w14:textId="77777777" w:rsidR="00137EDC" w:rsidRPr="00040FB0" w:rsidRDefault="00137EDC" w:rsidP="00AE7D30">
            <w:pPr>
              <w:rPr>
                <w:rFonts w:cs="Arial"/>
              </w:rPr>
            </w:pPr>
            <w:r w:rsidRPr="00040FB0">
              <w:rPr>
                <w:rFonts w:cs="Arial"/>
              </w:rPr>
              <w:t>BMS erforderlich</w:t>
            </w:r>
          </w:p>
        </w:tc>
        <w:tc>
          <w:tcPr>
            <w:tcW w:w="0" w:type="auto"/>
            <w:vAlign w:val="center"/>
            <w:hideMark/>
          </w:tcPr>
          <w:p w14:paraId="302DBC20" w14:textId="77777777" w:rsidR="00137EDC" w:rsidRPr="00040FB0" w:rsidRDefault="00137EDC" w:rsidP="00AE7D30">
            <w:pPr>
              <w:rPr>
                <w:rFonts w:cs="Arial"/>
              </w:rPr>
            </w:pPr>
            <w:r w:rsidRPr="00040FB0">
              <w:rPr>
                <w:rFonts w:cs="Arial"/>
              </w:rPr>
              <w:t>Nein</w:t>
            </w:r>
          </w:p>
        </w:tc>
        <w:tc>
          <w:tcPr>
            <w:tcW w:w="0" w:type="auto"/>
            <w:vAlign w:val="center"/>
            <w:hideMark/>
          </w:tcPr>
          <w:p w14:paraId="6596D4B1" w14:textId="77777777" w:rsidR="00137EDC" w:rsidRPr="00040FB0" w:rsidRDefault="00137EDC" w:rsidP="00AE7D30">
            <w:pPr>
              <w:rPr>
                <w:rFonts w:cs="Arial"/>
              </w:rPr>
            </w:pPr>
            <w:r w:rsidRPr="00040FB0">
              <w:rPr>
                <w:rFonts w:cs="Arial"/>
              </w:rPr>
              <w:t>Nein</w:t>
            </w:r>
          </w:p>
        </w:tc>
        <w:tc>
          <w:tcPr>
            <w:tcW w:w="0" w:type="auto"/>
            <w:vAlign w:val="center"/>
            <w:hideMark/>
          </w:tcPr>
          <w:p w14:paraId="666A6590" w14:textId="77777777" w:rsidR="00137EDC" w:rsidRPr="00040FB0" w:rsidRDefault="00137EDC" w:rsidP="00AE7D30">
            <w:pPr>
              <w:rPr>
                <w:rFonts w:cs="Arial"/>
              </w:rPr>
            </w:pPr>
            <w:r w:rsidRPr="00040FB0">
              <w:rPr>
                <w:rFonts w:cs="Arial"/>
              </w:rPr>
              <w:t>Ja</w:t>
            </w:r>
          </w:p>
        </w:tc>
      </w:tr>
      <w:tr w:rsidR="00137EDC" w:rsidRPr="00040FB0" w14:paraId="76D81282" w14:textId="77777777" w:rsidTr="00AE7D30">
        <w:trPr>
          <w:tblCellSpacing w:w="15" w:type="dxa"/>
        </w:trPr>
        <w:tc>
          <w:tcPr>
            <w:tcW w:w="0" w:type="auto"/>
            <w:vAlign w:val="center"/>
            <w:hideMark/>
          </w:tcPr>
          <w:p w14:paraId="65619D0F" w14:textId="77777777" w:rsidR="00137EDC" w:rsidRPr="00040FB0" w:rsidRDefault="00137EDC" w:rsidP="00AE7D30">
            <w:pPr>
              <w:rPr>
                <w:rFonts w:cs="Arial"/>
              </w:rPr>
            </w:pPr>
            <w:r w:rsidRPr="00040FB0">
              <w:rPr>
                <w:rFonts w:cs="Arial"/>
              </w:rPr>
              <w:t>Lebensdauer</w:t>
            </w:r>
          </w:p>
        </w:tc>
        <w:tc>
          <w:tcPr>
            <w:tcW w:w="0" w:type="auto"/>
            <w:vAlign w:val="center"/>
            <w:hideMark/>
          </w:tcPr>
          <w:p w14:paraId="6CD34427" w14:textId="77777777" w:rsidR="00137EDC" w:rsidRPr="00040FB0" w:rsidRDefault="00137EDC" w:rsidP="00AE7D30">
            <w:pPr>
              <w:rPr>
                <w:rFonts w:cs="Arial"/>
              </w:rPr>
            </w:pPr>
            <w:r w:rsidRPr="00040FB0">
              <w:rPr>
                <w:rFonts w:cs="Arial"/>
              </w:rPr>
              <w:t>ca. 5 Jahre</w:t>
            </w:r>
          </w:p>
        </w:tc>
        <w:tc>
          <w:tcPr>
            <w:tcW w:w="0" w:type="auto"/>
            <w:vAlign w:val="center"/>
            <w:hideMark/>
          </w:tcPr>
          <w:p w14:paraId="7FEA8819" w14:textId="77777777" w:rsidR="00137EDC" w:rsidRPr="00040FB0" w:rsidRDefault="00137EDC" w:rsidP="00AE7D30">
            <w:pPr>
              <w:rPr>
                <w:rFonts w:cs="Arial"/>
              </w:rPr>
            </w:pPr>
            <w:r w:rsidRPr="00040FB0">
              <w:rPr>
                <w:rFonts w:cs="Arial"/>
              </w:rPr>
              <w:t>ca. 5 Jahre</w:t>
            </w:r>
          </w:p>
        </w:tc>
        <w:tc>
          <w:tcPr>
            <w:tcW w:w="0" w:type="auto"/>
            <w:vAlign w:val="center"/>
            <w:hideMark/>
          </w:tcPr>
          <w:p w14:paraId="637411B4" w14:textId="77777777" w:rsidR="00137EDC" w:rsidRPr="00040FB0" w:rsidRDefault="00137EDC" w:rsidP="00AE7D30">
            <w:pPr>
              <w:rPr>
                <w:rFonts w:cs="Arial"/>
              </w:rPr>
            </w:pPr>
            <w:r w:rsidRPr="00040FB0">
              <w:rPr>
                <w:rFonts w:cs="Arial"/>
              </w:rPr>
              <w:t>über 10 Jahre</w:t>
            </w:r>
          </w:p>
        </w:tc>
      </w:tr>
    </w:tbl>
    <w:p w14:paraId="5A4B098C" w14:textId="77777777" w:rsidR="00137EDC" w:rsidRPr="00040FB0" w:rsidRDefault="00137EDC" w:rsidP="00137EDC">
      <w:pPr>
        <w:ind w:firstLine="708"/>
        <w:jc w:val="both"/>
        <w:rPr>
          <w:rFonts w:cs="Arial"/>
        </w:rPr>
      </w:pPr>
      <w:r w:rsidRPr="00040FB0">
        <w:rPr>
          <w:rFonts w:cs="Arial"/>
        </w:rPr>
        <w:t>Technischer Vergleich:</w:t>
      </w:r>
    </w:p>
    <w:p w14:paraId="0BBA37AC" w14:textId="77777777" w:rsidR="00137EDC" w:rsidRDefault="00137EDC" w:rsidP="00137EDC">
      <w:pPr>
        <w:ind w:left="708"/>
        <w:jc w:val="both"/>
        <w:rPr>
          <w:rFonts w:cs="Arial"/>
        </w:rPr>
      </w:pPr>
    </w:p>
    <w:p w14:paraId="01F685F9" w14:textId="77777777" w:rsidR="00137EDC" w:rsidRDefault="00137EDC" w:rsidP="00137EDC">
      <w:pPr>
        <w:ind w:left="708"/>
        <w:jc w:val="both"/>
        <w:rPr>
          <w:rFonts w:cs="Arial"/>
        </w:rPr>
      </w:pPr>
    </w:p>
    <w:p w14:paraId="697E55AE" w14:textId="77777777" w:rsidR="00137EDC" w:rsidRDefault="00137EDC" w:rsidP="00137EDC">
      <w:pPr>
        <w:ind w:left="708"/>
        <w:jc w:val="both"/>
        <w:rPr>
          <w:rFonts w:cs="Arial"/>
        </w:rPr>
      </w:pPr>
    </w:p>
    <w:p w14:paraId="2EA9E535" w14:textId="77777777" w:rsidR="00137EDC" w:rsidRDefault="00137EDC" w:rsidP="00137EDC">
      <w:pPr>
        <w:ind w:left="708"/>
        <w:jc w:val="both"/>
        <w:rPr>
          <w:rFonts w:cs="Arial"/>
        </w:rPr>
      </w:pPr>
    </w:p>
    <w:p w14:paraId="46CAE970" w14:textId="77777777" w:rsidR="00137EDC" w:rsidRDefault="00137EDC" w:rsidP="00137EDC">
      <w:pPr>
        <w:ind w:left="708"/>
        <w:jc w:val="both"/>
        <w:rPr>
          <w:rFonts w:cs="Arial"/>
        </w:rPr>
      </w:pPr>
    </w:p>
    <w:p w14:paraId="716A3697" w14:textId="77777777" w:rsidR="00137EDC" w:rsidRDefault="00137EDC" w:rsidP="00137EDC">
      <w:pPr>
        <w:ind w:left="708"/>
        <w:jc w:val="both"/>
        <w:rPr>
          <w:rFonts w:cs="Arial"/>
        </w:rPr>
      </w:pPr>
    </w:p>
    <w:p w14:paraId="12BD34F2" w14:textId="77777777" w:rsidR="00137EDC" w:rsidRDefault="00137EDC" w:rsidP="00137EDC">
      <w:pPr>
        <w:ind w:left="708"/>
        <w:jc w:val="both"/>
        <w:rPr>
          <w:rFonts w:cs="Arial"/>
        </w:rPr>
      </w:pPr>
    </w:p>
    <w:p w14:paraId="7FA4E594" w14:textId="77777777" w:rsidR="00137EDC" w:rsidRDefault="00137EDC" w:rsidP="00137EDC">
      <w:pPr>
        <w:ind w:left="708"/>
        <w:jc w:val="both"/>
        <w:rPr>
          <w:rFonts w:cs="Arial"/>
        </w:rPr>
      </w:pPr>
    </w:p>
    <w:p w14:paraId="74084B69" w14:textId="77777777" w:rsidR="00137EDC" w:rsidRDefault="00137EDC" w:rsidP="00137EDC">
      <w:pPr>
        <w:ind w:left="708"/>
        <w:jc w:val="both"/>
        <w:rPr>
          <w:rFonts w:cs="Arial"/>
        </w:rPr>
      </w:pPr>
      <w:r>
        <w:rPr>
          <w:rFonts w:cs="Arial"/>
        </w:rPr>
        <w:fldChar w:fldCharType="begin"/>
      </w:r>
      <w:r>
        <w:rPr>
          <w:rFonts w:cs="Arial"/>
        </w:rPr>
        <w:instrText xml:space="preserve"> ADDIN ZOTERO_ITEM CSL_CITATION {"citationID":"Myba2o8l","properties":{"formattedCitation":"[13],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7D41E3AB" w14:textId="77777777" w:rsidR="00137EDC" w:rsidRPr="00040FB0" w:rsidRDefault="00137EDC" w:rsidP="00137EDC">
      <w:pPr>
        <w:spacing w:before="240"/>
        <w:ind w:left="708"/>
        <w:jc w:val="both"/>
        <w:rPr>
          <w:rFonts w:cs="Arial"/>
        </w:rPr>
      </w:pPr>
      <w:r w:rsidRPr="00040FB0">
        <w:rPr>
          <w:rFonts w:cs="Arial"/>
        </w:rPr>
        <w:t>Wirtschaftliche Betrachtung: Die Anschaffungskosten für AGM-Batterien liegen bei etwa 120</w:t>
      </w:r>
      <w:r>
        <w:rPr>
          <w:rFonts w:cs="Arial"/>
        </w:rPr>
        <w:t> </w:t>
      </w:r>
      <w:r w:rsidRPr="00040FB0">
        <w:rPr>
          <w:rFonts w:cs="Arial"/>
        </w:rPr>
        <w:t>€ pro kWh nutzbarer Kapazität, während LiFePO4-Batterien ab 260</w:t>
      </w:r>
      <w:r>
        <w:rPr>
          <w:rFonts w:cs="Arial"/>
        </w:rPr>
        <w:t> </w:t>
      </w:r>
      <w:r w:rsidRPr="00040FB0">
        <w:rPr>
          <w:rFonts w:cs="Arial"/>
        </w:rPr>
        <w:t xml:space="preserve">€ pro kWh kosten </w:t>
      </w:r>
      <w:r>
        <w:rPr>
          <w:rFonts w:cs="Arial"/>
        </w:rPr>
        <w:fldChar w:fldCharType="begin"/>
      </w:r>
      <w:r>
        <w:rPr>
          <w:rFonts w:cs="Arial"/>
        </w:rPr>
        <w:instrText xml:space="preserve"> ADDIN ZOTERO_ITEM CSL_CITATION {"citationID":"omydWPbB","properties":{"formattedCitation":"[14]","plainCitation":"[14]","noteIndex":0},"citationItems":[{"id":40,"uris":["http://zotero.org/groups/6046789/items/E6HEMQYX"],"itemData":{"id":40,"type":"webpage","abstract":"Sie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693A84">
        <w:rPr>
          <w:rFonts w:ascii="Aptos" w:hAnsi="Aptos"/>
        </w:rPr>
        <w:t>[14]</w:t>
      </w:r>
      <w:r>
        <w:rPr>
          <w:rFonts w:cs="Arial"/>
        </w:rPr>
        <w:fldChar w:fldCharType="end"/>
      </w:r>
      <w:r w:rsidRPr="00040FB0">
        <w:rPr>
          <w:rFonts w:cs="Arial"/>
        </w:rPr>
        <w:t>. Auf den ersten Blick erscheinen AGM-Batterien wirtschaftlicher. Bei Berücksichtigung der Lebensdauer und Zyklenzahl ergibt sich jedoch ein anderes Bild: Eine AGM-Batterie mit 500 Zyklen und 55</w:t>
      </w:r>
      <w:r>
        <w:rPr>
          <w:rFonts w:cs="Arial"/>
        </w:rPr>
        <w:t> </w:t>
      </w:r>
      <w:r w:rsidRPr="00040FB0">
        <w:rPr>
          <w:rFonts w:cs="Arial"/>
        </w:rPr>
        <w:t>% nutzbarer Kapazität erreicht etwa 275</w:t>
      </w:r>
      <w:r>
        <w:rPr>
          <w:rFonts w:cs="Arial"/>
        </w:rPr>
        <w:t> </w:t>
      </w:r>
      <w:r w:rsidRPr="00040FB0">
        <w:rPr>
          <w:rFonts w:cs="Arial"/>
        </w:rPr>
        <w:t>kWh Gesamtdurchsatz, während eine LiFePO4-Batterie mit 4000 Zyklen und 100</w:t>
      </w:r>
      <w:r>
        <w:rPr>
          <w:rFonts w:cs="Arial"/>
        </w:rPr>
        <w:t> </w:t>
      </w:r>
      <w:r w:rsidRPr="00040FB0">
        <w:rPr>
          <w:rFonts w:cs="Arial"/>
        </w:rPr>
        <w:t>% nutzbarer Kapazität 4000 kWh erreicht. Die Kosten pro nutzbarer Kilowattstunde über die Lebensdauer liegen somit bei AGM-Batterien bei etwa 0,44</w:t>
      </w:r>
      <w:r>
        <w:rPr>
          <w:rFonts w:cs="Arial"/>
        </w:rPr>
        <w:t> </w:t>
      </w:r>
      <w:r w:rsidRPr="00040FB0">
        <w:rPr>
          <w:rFonts w:cs="Arial"/>
        </w:rPr>
        <w:t>€/kWh und bei LiFePO4-Batterien bei etwa 0,0</w:t>
      </w:r>
      <w:r>
        <w:rPr>
          <w:rFonts w:cs="Arial"/>
        </w:rPr>
        <w:t>7 </w:t>
      </w:r>
      <w:r w:rsidRPr="00040FB0">
        <w:rPr>
          <w:rFonts w:cs="Arial"/>
        </w:rPr>
        <w:t xml:space="preserve">€/kWh </w:t>
      </w:r>
      <w:r>
        <w:rPr>
          <w:rFonts w:cs="Arial"/>
        </w:rPr>
        <w:fldChar w:fldCharType="begin"/>
      </w:r>
      <w:r>
        <w:rPr>
          <w:rFonts w:cs="Arial"/>
        </w:rPr>
        <w:instrText xml:space="preserve"> ADDIN ZOTERO_ITEM CSL_CITATION {"citationID":"wOyiLLUe","properties":{"formattedCitation":"[14]","plainCitation":"[14]","noteIndex":0},"citationItems":[{"id":40,"uris":["http://zotero.org/groups/6046789/items/E6HEMQYX"],"itemData":{"id":40,"type":"webpage","abstract":"Sie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Pr>
          <w:rFonts w:cs="Arial"/>
        </w:rPr>
        <w:fldChar w:fldCharType="separate"/>
      </w:r>
      <w:r w:rsidRPr="00693A84">
        <w:rPr>
          <w:rFonts w:ascii="Aptos" w:hAnsi="Aptos"/>
        </w:rPr>
        <w:t>[14]</w:t>
      </w:r>
      <w:r>
        <w:rPr>
          <w:rFonts w:cs="Arial"/>
        </w:rPr>
        <w:fldChar w:fldCharType="end"/>
      </w:r>
      <w:r w:rsidRPr="00040FB0">
        <w:rPr>
          <w:rFonts w:cs="Arial"/>
        </w:rPr>
        <w:t>.</w:t>
      </w:r>
    </w:p>
    <w:p w14:paraId="63C7FFF2" w14:textId="77777777" w:rsidR="00137EDC" w:rsidRPr="00040FB0" w:rsidRDefault="00137EDC" w:rsidP="00137EDC">
      <w:pPr>
        <w:ind w:left="708"/>
        <w:jc w:val="both"/>
        <w:rPr>
          <w:rFonts w:cs="Arial"/>
        </w:rPr>
      </w:pPr>
      <w:r w:rsidRPr="00040FB0">
        <w:rPr>
          <w:rFonts w:cs="Arial"/>
        </w:rPr>
        <w:t>Auswahlbegründung für den Prototyp: Für den 0,7</w:t>
      </w:r>
      <w:r>
        <w:rPr>
          <w:rFonts w:cs="Arial"/>
        </w:rPr>
        <w:t> </w:t>
      </w:r>
      <w:r w:rsidRPr="00040FB0">
        <w:rPr>
          <w:rFonts w:cs="Arial"/>
        </w:rPr>
        <w:t>m² Prototyp wurde die AGM Super Cycle Batterie 100</w:t>
      </w:r>
      <w:r>
        <w:rPr>
          <w:rFonts w:cs="Arial"/>
        </w:rPr>
        <w:t> </w:t>
      </w:r>
      <w:r w:rsidRPr="00040FB0">
        <w:rPr>
          <w:rFonts w:cs="Arial"/>
        </w:rPr>
        <w:t>Ah gewählt. Diese Entscheidung basiert auf mehreren Faktoren: Das System dient primär als Demonstrationssystem im Rahmen der Diplomarbeit mit einer Projektlaufzeit von 1–2 Jahren. In diesem Zeitraum sind etwa 365–730 Zyklen zu erwarten, was innerhalb der Zyklenfestigkeit der AGM-Technologie liegt</w:t>
      </w:r>
      <w:r>
        <w:rPr>
          <w:rFonts w:cs="Arial"/>
        </w:rPr>
        <w:t xml:space="preserve"> </w:t>
      </w:r>
      <w:r>
        <w:rPr>
          <w:rFonts w:cs="Arial"/>
        </w:rPr>
        <w:fldChar w:fldCharType="begin"/>
      </w:r>
      <w:r>
        <w:rPr>
          <w:rFonts w:cs="Arial"/>
        </w:rPr>
        <w:instrText xml:space="preserve"> ADDIN ZOTERO_ITEM CSL_CITATION {"citationID":"DrRbZqQ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693A84">
        <w:rPr>
          <w:rFonts w:ascii="Aptos" w:hAnsi="Aptos"/>
        </w:rPr>
        <w:t>[10]</w:t>
      </w:r>
      <w:r>
        <w:rPr>
          <w:rFonts w:cs="Arial"/>
        </w:rPr>
        <w:fldChar w:fldCharType="end"/>
      </w:r>
      <w:r w:rsidRPr="00040FB0">
        <w:rPr>
          <w:rFonts w:cs="Arial"/>
        </w:rPr>
        <w:t>. Die Anschaffungskosten sind deutlich geringer als bei LiFePO4-Batterien. Das höhere Gewicht von etwa 26</w:t>
      </w:r>
      <w:r>
        <w:rPr>
          <w:rFonts w:cs="Arial"/>
        </w:rPr>
        <w:t> </w:t>
      </w:r>
      <w:r w:rsidRPr="00040FB0">
        <w:rPr>
          <w:rFonts w:cs="Arial"/>
        </w:rPr>
        <w:t xml:space="preserve">kg spielt bei einer stationären Installation im Schaltschrank keine Rolle </w:t>
      </w:r>
      <w:r>
        <w:rPr>
          <w:rFonts w:cs="Arial"/>
        </w:rPr>
        <w:fldChar w:fldCharType="begin"/>
      </w:r>
      <w:r>
        <w:rPr>
          <w:rFonts w:cs="Arial"/>
        </w:rPr>
        <w:instrText xml:space="preserve"> ADDIN ZOTERO_ITEM CSL_CITATION {"citationID":"bsGfkC8U","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693A84">
        <w:rPr>
          <w:rFonts w:ascii="Aptos" w:hAnsi="Aptos"/>
        </w:rPr>
        <w:t>[10]</w:t>
      </w:r>
      <w:r>
        <w:rPr>
          <w:rFonts w:cs="Arial"/>
        </w:rPr>
        <w:fldChar w:fldCharType="end"/>
      </w:r>
      <w:r w:rsidRPr="00040FB0">
        <w:rPr>
          <w:rFonts w:cs="Arial"/>
        </w:rPr>
        <w:t xml:space="preserve">. AGM-Batterien benötigen kein externes BMS, was die Systemkomplexität reduziert und die Integration mit den Victron-Komponenten vereinfacht. Die Victron AGM Super Cycle Batterie verträgt gelegentliche Tiefentladungen besser als Standard-AGM-Batterien </w:t>
      </w:r>
      <w:r>
        <w:rPr>
          <w:rFonts w:cs="Arial"/>
        </w:rPr>
        <w:fldChar w:fldCharType="begin"/>
      </w:r>
      <w:r>
        <w:rPr>
          <w:rFonts w:cs="Arial"/>
        </w:rPr>
        <w:instrText xml:space="preserve"> ADDIN ZOTERO_ITEM CSL_CITATION {"citationID":"EERKTp7N","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Pr>
          <w:rFonts w:cs="Arial"/>
        </w:rPr>
        <w:fldChar w:fldCharType="separate"/>
      </w:r>
      <w:r w:rsidRPr="00693A84">
        <w:rPr>
          <w:rFonts w:ascii="Aptos" w:hAnsi="Aptos"/>
        </w:rPr>
        <w:t>[10]</w:t>
      </w:r>
      <w:r>
        <w:rPr>
          <w:rFonts w:cs="Arial"/>
        </w:rPr>
        <w:fldChar w:fldCharType="end"/>
      </w:r>
      <w:r w:rsidRPr="00040FB0">
        <w:rPr>
          <w:rFonts w:cs="Arial"/>
        </w:rPr>
        <w:t>.</w:t>
      </w:r>
    </w:p>
    <w:p w14:paraId="0AB2C541" w14:textId="77777777" w:rsidR="00137EDC" w:rsidRPr="00040FB0" w:rsidRDefault="00137EDC" w:rsidP="00137EDC">
      <w:pPr>
        <w:ind w:left="708"/>
        <w:jc w:val="both"/>
        <w:rPr>
          <w:rFonts w:cs="Arial"/>
        </w:rPr>
      </w:pPr>
      <w:r w:rsidRPr="00040FB0">
        <w:rPr>
          <w:rFonts w:cs="Arial"/>
        </w:rPr>
        <w:t>Für kommerzielle Anwendungen mit geplanter Betriebsdauer von über 10 Jahren und täglicher Nutzung wäre LiFePO4 aufgrund der deutlich höheren Zyklenfestigkeit, nutzbaren Kapazität und längeren Lebensdauer wirtschaftlich sinnvoller. Die höheren Anschaffungskosten amortisieren sich durch die längere Nutzungsdauer und die geringeren Kosten pro Zyklus. Bei größeren Systemen kommt zusätzlich das geringere Gewicht als Vorteil zum Tragen, insbesondere wenn Dachlasten berücksichtigt werden müssen.</w:t>
      </w:r>
    </w:p>
    <w:p w14:paraId="3A60D904" w14:textId="77777777" w:rsidR="00EA319E" w:rsidRPr="00137EDC" w:rsidRDefault="00EA319E" w:rsidP="00137EDC"/>
    <w:sectPr w:rsidR="00EA319E" w:rsidRPr="00137ED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31"/>
    <w:rsid w:val="00040FB0"/>
    <w:rsid w:val="000C52CA"/>
    <w:rsid w:val="00137EDC"/>
    <w:rsid w:val="00444FFB"/>
    <w:rsid w:val="007E7E31"/>
    <w:rsid w:val="00872205"/>
    <w:rsid w:val="0098031F"/>
    <w:rsid w:val="00A33A49"/>
    <w:rsid w:val="00C27728"/>
    <w:rsid w:val="00D221C7"/>
    <w:rsid w:val="00D317AC"/>
    <w:rsid w:val="00EA319E"/>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A2F23"/>
  <w15:chartTrackingRefBased/>
  <w15:docId w15:val="{B131BF62-9816-4315-8361-E0BC02B06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37EDC"/>
  </w:style>
  <w:style w:type="paragraph" w:styleId="berschrift1">
    <w:name w:val="heading 1"/>
    <w:basedOn w:val="Standard"/>
    <w:next w:val="Standard"/>
    <w:link w:val="berschrift1Zchn"/>
    <w:uiPriority w:val="9"/>
    <w:qFormat/>
    <w:rsid w:val="007E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E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E7E3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E7E3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E7E3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E7E3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E7E3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E7E3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E7E3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E7E3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E7E3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E7E3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E7E3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E7E3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E7E3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E7E3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E7E3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E7E31"/>
    <w:rPr>
      <w:rFonts w:eastAsiaTheme="majorEastAsia" w:cstheme="majorBidi"/>
      <w:color w:val="272727" w:themeColor="text1" w:themeTint="D8"/>
    </w:rPr>
  </w:style>
  <w:style w:type="paragraph" w:styleId="Titel">
    <w:name w:val="Title"/>
    <w:basedOn w:val="Standard"/>
    <w:next w:val="Standard"/>
    <w:link w:val="TitelZchn"/>
    <w:uiPriority w:val="10"/>
    <w:qFormat/>
    <w:rsid w:val="007E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E7E3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E7E3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E7E3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E7E3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E7E31"/>
    <w:rPr>
      <w:i/>
      <w:iCs/>
      <w:color w:val="404040" w:themeColor="text1" w:themeTint="BF"/>
    </w:rPr>
  </w:style>
  <w:style w:type="paragraph" w:styleId="Listenabsatz">
    <w:name w:val="List Paragraph"/>
    <w:basedOn w:val="Standard"/>
    <w:uiPriority w:val="34"/>
    <w:qFormat/>
    <w:rsid w:val="007E7E31"/>
    <w:pPr>
      <w:ind w:left="720"/>
      <w:contextualSpacing/>
    </w:pPr>
  </w:style>
  <w:style w:type="character" w:styleId="IntensiveHervorhebung">
    <w:name w:val="Intense Emphasis"/>
    <w:basedOn w:val="Absatz-Standardschriftart"/>
    <w:uiPriority w:val="21"/>
    <w:qFormat/>
    <w:rsid w:val="007E7E31"/>
    <w:rPr>
      <w:i/>
      <w:iCs/>
      <w:color w:val="0F4761" w:themeColor="accent1" w:themeShade="BF"/>
    </w:rPr>
  </w:style>
  <w:style w:type="paragraph" w:styleId="IntensivesZitat">
    <w:name w:val="Intense Quote"/>
    <w:basedOn w:val="Standard"/>
    <w:next w:val="Standard"/>
    <w:link w:val="IntensivesZitatZchn"/>
    <w:uiPriority w:val="30"/>
    <w:qFormat/>
    <w:rsid w:val="007E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E7E31"/>
    <w:rPr>
      <w:i/>
      <w:iCs/>
      <w:color w:val="0F4761" w:themeColor="accent1" w:themeShade="BF"/>
    </w:rPr>
  </w:style>
  <w:style w:type="character" w:styleId="IntensiverVerweis">
    <w:name w:val="Intense Reference"/>
    <w:basedOn w:val="Absatz-Standardschriftart"/>
    <w:uiPriority w:val="32"/>
    <w:qFormat/>
    <w:rsid w:val="007E7E31"/>
    <w:rPr>
      <w:b/>
      <w:bCs/>
      <w:smallCaps/>
      <w:color w:val="0F4761" w:themeColor="accent1" w:themeShade="BF"/>
      <w:spacing w:val="5"/>
    </w:rPr>
  </w:style>
  <w:style w:type="character" w:styleId="Hyperlink">
    <w:name w:val="Hyperlink"/>
    <w:basedOn w:val="Absatz-Standardschriftart"/>
    <w:uiPriority w:val="99"/>
    <w:unhideWhenUsed/>
    <w:rsid w:val="00040FB0"/>
    <w:rPr>
      <w:color w:val="467886" w:themeColor="hyperlink"/>
      <w:u w:val="single"/>
    </w:rPr>
  </w:style>
  <w:style w:type="character" w:styleId="NichtaufgelsteErwhnung">
    <w:name w:val="Unresolved Mention"/>
    <w:basedOn w:val="Absatz-Standardschriftart"/>
    <w:uiPriority w:val="99"/>
    <w:semiHidden/>
    <w:unhideWhenUsed/>
    <w:rsid w:val="00040F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3117</Words>
  <Characters>19644</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7</cp:revision>
  <dcterms:created xsi:type="dcterms:W3CDTF">2025-12-17T09:04:00Z</dcterms:created>
  <dcterms:modified xsi:type="dcterms:W3CDTF">2026-02-17T23:25:00Z</dcterms:modified>
</cp:coreProperties>
</file>