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00377A2"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pulse warming event on record in terms of severity and longevity [@Eakin:2016vf; @Heron2016-am], yet despite massive coral mortality, some corals show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Corals live in symbiosis with a diverse genus of photosynthetic dinoflagellates (Symbiodinium spp.; [@Muscatine1977-pn; @Rowan1992-lg])</w:t>
      </w:r>
      <w:r w:rsidR="002B7F10">
        <w:rPr>
          <w:rFonts w:ascii="Helvetica Neue" w:eastAsia="Times New Roman" w:hAnsi="Helvetica Neue" w:cs="Times New Roman"/>
          <w:color w:val="3E3F3A"/>
          <w:sz w:val="21"/>
          <w:szCs w:val="21"/>
          <w:shd w:val="clear" w:color="auto" w:fill="FFFFFF"/>
          <w:lang w:val="en-CA"/>
        </w:rPr>
        <w:t xml:space="preserve">, and the flexibility of this symbiosis </w:t>
      </w:r>
      <w:r w:rsidR="002B7F10" w:rsidRPr="00D66E2B">
        <w:rPr>
          <w:rFonts w:ascii="Helvetica Neue" w:eastAsia="Times New Roman" w:hAnsi="Helvetica Neue" w:cs="Times New Roman"/>
          <w:color w:val="3E3F3A"/>
          <w:sz w:val="21"/>
          <w:szCs w:val="21"/>
          <w:shd w:val="clear" w:color="auto" w:fill="FFFFFF"/>
          <w:lang w:val="en-CA"/>
        </w:rPr>
        <w:t>[@Baker2003-ks; @Little2004-tm</w:t>
      </w:r>
      <w:r w:rsidR="002B7F10">
        <w:rPr>
          <w:rFonts w:ascii="Helvetica Neue" w:eastAsia="Times New Roman" w:hAnsi="Helvetica Neue" w:cs="Times New Roman"/>
          <w:color w:val="3E3F3A"/>
          <w:sz w:val="21"/>
          <w:szCs w:val="21"/>
          <w:shd w:val="clear" w:color="auto" w:fill="FFFFFF"/>
          <w:lang w:val="en-CA"/>
        </w:rPr>
        <w:t xml:space="preserve"> … more</w:t>
      </w:r>
      <w:r w:rsidR="002B7F10" w:rsidRPr="00D66E2B">
        <w:rPr>
          <w:rFonts w:ascii="Helvetica Neue" w:eastAsia="Times New Roman" w:hAnsi="Helvetica Neue" w:cs="Times New Roman"/>
          <w:color w:val="3E3F3A"/>
          <w:sz w:val="21"/>
          <w:szCs w:val="21"/>
          <w:shd w:val="clear" w:color="auto" w:fill="FFFFFF"/>
          <w:lang w:val="en-CA"/>
        </w:rPr>
        <w:t>]</w:t>
      </w:r>
      <w:r w:rsidR="002B7F10">
        <w:rPr>
          <w:rFonts w:ascii="Helvetica Neue" w:eastAsia="Times New Roman" w:hAnsi="Helvetica Neue" w:cs="Times New Roman"/>
          <w:color w:val="3E3F3A"/>
          <w:sz w:val="21"/>
          <w:szCs w:val="21"/>
          <w:shd w:val="clear" w:color="auto" w:fill="FFFFFF"/>
          <w:lang w:val="en-CA"/>
        </w:rPr>
        <w:t xml:space="preserve"> has contributed to novel research exploring the efficacy of assisted evolution for saving threatened reefs [Ruth and Madeline]</w:t>
      </w:r>
      <w:r w:rsidRPr="00D66E2B">
        <w:rPr>
          <w:rFonts w:ascii="Helvetica Neue" w:eastAsia="Times New Roman" w:hAnsi="Helvetica Neue" w:cs="Times New Roman"/>
          <w:color w:val="3E3F3A"/>
          <w:sz w:val="21"/>
          <w:szCs w:val="21"/>
          <w:shd w:val="clear" w:color="auto" w:fill="FFFFFF"/>
          <w:lang w:val="en-CA"/>
        </w:rPr>
        <w:t>. Warming causes the breakdown of coral symbiosis</w:t>
      </w:r>
      <w:r w:rsidR="00A24EBD">
        <w:rPr>
          <w:rFonts w:ascii="Helvetica Neue" w:eastAsia="Times New Roman" w:hAnsi="Helvetica Neue" w:cs="Times New Roman"/>
          <w:color w:val="3E3F3A"/>
          <w:sz w:val="21"/>
          <w:szCs w:val="21"/>
          <w:shd w:val="clear" w:color="auto" w:fill="FFFFFF"/>
          <w:lang w:val="en-CA"/>
        </w:rPr>
        <w:t xml:space="preserve"> (i.e. </w:t>
      </w:r>
      <w:r w:rsidRPr="00D66E2B">
        <w:rPr>
          <w:rFonts w:ascii="Helvetica Neue" w:eastAsia="Times New Roman" w:hAnsi="Helvetica Neue" w:cs="Times New Roman"/>
          <w:color w:val="3E3F3A"/>
          <w:sz w:val="21"/>
          <w:szCs w:val="21"/>
          <w:shd w:val="clear" w:color="auto" w:fill="FFFFFF"/>
          <w:lang w:val="en-CA"/>
        </w:rPr>
        <w:t>coral "bleaching"</w:t>
      </w:r>
      <w:r w:rsidR="00A24EBD">
        <w:rPr>
          <w:rFonts w:ascii="Helvetica Neue" w:eastAsia="Times New Roman" w:hAnsi="Helvetica Neue" w:cs="Times New Roman"/>
          <w:color w:val="3E3F3A"/>
          <w:sz w:val="21"/>
          <w:szCs w:val="21"/>
          <w:shd w:val="clear" w:color="auto" w:fill="FFFFFF"/>
          <w:lang w:val="en-CA"/>
        </w:rPr>
        <w:t>)</w:t>
      </w:r>
      <w:r w:rsidRPr="00D66E2B">
        <w:rPr>
          <w:rFonts w:ascii="Helvetica Neue" w:eastAsia="Times New Roman" w:hAnsi="Helvetica Neue" w:cs="Times New Roman"/>
          <w:color w:val="3E3F3A"/>
          <w:sz w:val="21"/>
          <w:szCs w:val="21"/>
          <w:shd w:val="clear" w:color="auto" w:fill="FFFFFF"/>
          <w:lang w:val="en-CA"/>
        </w:rPr>
        <w:t xml:space="preserve"> when symbionts are expelled </w:t>
      </w:r>
      <w:r w:rsidR="00EA5583">
        <w:rPr>
          <w:rFonts w:ascii="Helvetica Neue" w:eastAsia="Times New Roman" w:hAnsi="Helvetica Neue" w:cs="Times New Roman"/>
          <w:color w:val="3E3F3A"/>
          <w:sz w:val="21"/>
          <w:szCs w:val="21"/>
          <w:shd w:val="clear" w:color="auto" w:fill="FFFFFF"/>
          <w:lang w:val="en-CA"/>
        </w:rPr>
        <w:t xml:space="preserve">from </w:t>
      </w:r>
      <w:r w:rsidRPr="00D66E2B">
        <w:rPr>
          <w:rFonts w:ascii="Helvetica Neue" w:eastAsia="Times New Roman" w:hAnsi="Helvetica Neue" w:cs="Times New Roman"/>
          <w:color w:val="3E3F3A"/>
          <w:sz w:val="21"/>
          <w:szCs w:val="21"/>
          <w:shd w:val="clear" w:color="auto" w:fill="FFFFFF"/>
          <w:lang w:val="en-CA"/>
        </w:rPr>
        <w:t xml:space="preserve">the coral tissue [@Brown1997-mf]. Coral bleaching can lead to mortality, although corals can </w:t>
      </w:r>
      <w:r w:rsidR="002B7F10">
        <w:rPr>
          <w:rFonts w:ascii="Helvetica Neue" w:eastAsia="Times New Roman" w:hAnsi="Helvetica Neue" w:cs="Times New Roman"/>
          <w:color w:val="3E3F3A"/>
          <w:sz w:val="21"/>
          <w:szCs w:val="21"/>
          <w:shd w:val="clear" w:color="auto" w:fill="FFFFFF"/>
          <w:lang w:val="en-CA"/>
        </w:rPr>
        <w:t xml:space="preserve">recover by </w:t>
      </w:r>
      <w:r w:rsidRPr="00D66E2B">
        <w:rPr>
          <w:rFonts w:ascii="Helvetica Neue" w:eastAsia="Times New Roman" w:hAnsi="Helvetica Neue" w:cs="Times New Roman"/>
          <w:color w:val="3E3F3A"/>
          <w:sz w:val="21"/>
          <w:szCs w:val="21"/>
          <w:shd w:val="clear" w:color="auto" w:fill="FFFFFF"/>
          <w:lang w:val="en-CA"/>
        </w:rPr>
        <w:t>regain</w:t>
      </w:r>
      <w:r w:rsidR="002B7F10">
        <w:rPr>
          <w:rFonts w:ascii="Helvetica Neue" w:eastAsia="Times New Roman" w:hAnsi="Helvetica Neue" w:cs="Times New Roman"/>
          <w:color w:val="3E3F3A"/>
          <w:sz w:val="21"/>
          <w:szCs w:val="21"/>
          <w:shd w:val="clear" w:color="auto" w:fill="FFFFFF"/>
          <w:lang w:val="en-CA"/>
        </w:rPr>
        <w:t>ing</w:t>
      </w:r>
      <w:r w:rsidRPr="00D66E2B">
        <w:rPr>
          <w:rFonts w:ascii="Helvetica Neue" w:eastAsia="Times New Roman" w:hAnsi="Helvetica Neue" w:cs="Times New Roman"/>
          <w:color w:val="3E3F3A"/>
          <w:sz w:val="21"/>
          <w:szCs w:val="21"/>
          <w:shd w:val="clear" w:color="auto" w:fill="FFFFFF"/>
          <w:lang w:val="en-CA"/>
        </w:rPr>
        <w:t xml:space="preserve"> symbionts after </w:t>
      </w:r>
      <w:r w:rsidR="00EA5583">
        <w:rPr>
          <w:rFonts w:ascii="Helvetica Neue" w:eastAsia="Times New Roman" w:hAnsi="Helvetica Neue" w:cs="Times New Roman"/>
          <w:color w:val="3E3F3A"/>
          <w:sz w:val="21"/>
          <w:szCs w:val="21"/>
          <w:shd w:val="clear" w:color="auto" w:fill="FFFFFF"/>
          <w:lang w:val="en-CA"/>
        </w:rPr>
        <w:t>the</w:t>
      </w:r>
      <w:r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Pr>
          <w:rFonts w:ascii="Helvetica Neue" w:eastAsia="Times New Roman" w:hAnsi="Helvetica Neue" w:cs="Times New Roman"/>
          <w:color w:val="3E3F3A"/>
          <w:sz w:val="21"/>
          <w:szCs w:val="21"/>
          <w:shd w:val="clear" w:color="auto" w:fill="FFFFFF"/>
          <w:lang w:val="en-CA"/>
        </w:rPr>
        <w:t xml:space="preserve">tat2009-qq].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9EC48D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1"/>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sidRPr="00CF6618">
        <w:rPr>
          <w:rFonts w:ascii="Helvetica Neue" w:eastAsia="Times New Roman" w:hAnsi="Helvetica Neue" w:cs="Times New Roman"/>
          <w:color w:val="3E3F3A"/>
          <w:sz w:val="21"/>
          <w:szCs w:val="21"/>
          <w:shd w:val="clear" w:color="auto" w:fill="FFFFFF"/>
          <w:lang w:val="en-CA"/>
        </w:rPr>
        <w:t xml:space="preserve">(@Eakin:2016vf). </w:t>
      </w:r>
      <w:r w:rsidR="00D75765">
        <w:rPr>
          <w:rFonts w:ascii="Helvetica Neue" w:eastAsia="Times New Roman" w:hAnsi="Helvetica Neue" w:cs="Times New Roman"/>
          <w:color w:val="3E3F3A"/>
          <w:sz w:val="21"/>
          <w:szCs w:val="21"/>
          <w:shd w:val="clear" w:color="auto" w:fill="FFFFFF"/>
          <w:lang w:val="en-CA"/>
        </w:rPr>
        <w:t xml:space="preserve">NEED ANOTHER SENTENCE HERE.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1"/>
      <w:r w:rsidR="007A60C0">
        <w:rPr>
          <w:rStyle w:val="CommentReference"/>
        </w:rPr>
        <w:commentReference w:id="1"/>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682ADD08"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lastRenderedPageBreak/>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and environmental optima [@Fabina2012-mm].</w:t>
      </w:r>
      <w:r w:rsidR="00507D22">
        <w:rPr>
          <w:rFonts w:ascii="Helvetica Neue" w:eastAsia="Times New Roman" w:hAnsi="Helvetica Neue" w:cs="Times New Roman"/>
          <w:color w:val="3E3F3A"/>
          <w:sz w:val="21"/>
          <w:szCs w:val="21"/>
          <w:shd w:val="clear" w:color="auto" w:fill="FFFFFF"/>
          <w:lang w:val="en-CA"/>
        </w:rPr>
        <w:t xml:space="preserve"> F</w:t>
      </w:r>
      <w:r w:rsidR="00507D22" w:rsidRPr="00CF6618">
        <w:rPr>
          <w:rFonts w:ascii="Helvetica Neue" w:eastAsia="Times New Roman" w:hAnsi="Helvetica Neue" w:cs="Times New Roman"/>
          <w:color w:val="3E3F3A"/>
          <w:sz w:val="21"/>
          <w:szCs w:val="21"/>
          <w:shd w:val="clear" w:color="auto" w:fill="FFFFFF"/>
          <w:lang w:val="en-CA"/>
        </w:rPr>
        <w:t xml:space="preserve">unctional differences such as photosynthetic efficiency and bleaching resistance are also present among </w:t>
      </w:r>
      <w:r w:rsidR="00507D22" w:rsidRPr="00046BBA">
        <w:rPr>
          <w:rFonts w:ascii="Helvetica Neue" w:eastAsia="Times New Roman" w:hAnsi="Helvetica Neue" w:cs="Times New Roman"/>
          <w:i/>
          <w:color w:val="3E3F3A"/>
          <w:sz w:val="21"/>
          <w:szCs w:val="21"/>
          <w:shd w:val="clear" w:color="auto" w:fill="FFFFFF"/>
          <w:lang w:val="en-CA"/>
        </w:rPr>
        <w:t>Symbiodinium</w:t>
      </w:r>
      <w:r w:rsidR="00507D22"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2"/>
      <w:r w:rsidR="007A60C0">
        <w:rPr>
          <w:rStyle w:val="CommentReference"/>
        </w:rPr>
        <w:commentReference w:id="2"/>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78AB34C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commentRangeStart w:id="3"/>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commentRangeEnd w:id="3"/>
      <w:r w:rsidR="007A60C0">
        <w:rPr>
          <w:rStyle w:val="CommentReference"/>
        </w:rPr>
        <w:commentReference w:id="3"/>
      </w:r>
    </w:p>
    <w:p w14:paraId="068D00EE" w14:textId="15AA1026"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144F27BB"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commentRangeStart w:id="4"/>
      <w:r>
        <w:rPr>
          <w:rFonts w:ascii="Helvetica Neue" w:eastAsia="Times New Roman" w:hAnsi="Helvetica Neue" w:cs="Times New Roman"/>
          <w:color w:val="3E3F3A"/>
          <w:sz w:val="21"/>
          <w:szCs w:val="21"/>
          <w:shd w:val="clear" w:color="auto" w:fill="FFFFFF"/>
          <w:lang w:val="en-CA"/>
        </w:rPr>
        <w:t>Global</w:t>
      </w:r>
      <w:commentRangeEnd w:id="4"/>
      <w:r>
        <w:rPr>
          <w:rStyle w:val="CommentReference"/>
        </w:rPr>
        <w:commentReference w:id="4"/>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has typically focused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for example, by </w:t>
      </w:r>
      <w:r>
        <w:rPr>
          <w:rFonts w:ascii="Helvetica Neue" w:eastAsia="Times New Roman" w:hAnsi="Helvetica Neue" w:cs="Times New Roman"/>
          <w:color w:val="3E3F3A"/>
          <w:sz w:val="21"/>
          <w:szCs w:val="21"/>
          <w:shd w:val="clear" w:color="auto" w:fill="FFFFFF"/>
          <w:lang w:val="en-CA"/>
        </w:rPr>
        <w:lastRenderedPageBreak/>
        <w:t xml:space="preserve">protecting populations of herbivorous fishes which indirectly provision space for new coral recruits by mediating competition between coral and macroalgae. What is unclear is if local management can also influence coral resistance to heat stress, and if so via which mechanisms. Coral bleaching and mortality on the Great Barrier Reef during the 2015-2016 El Niño event occurred irrespective of local protection, with no detectable differences across water quality or fishing pressure </w:t>
      </w:r>
      <w:proofErr w:type="spellStart"/>
      <w:r>
        <w:rPr>
          <w:rFonts w:ascii="Helvetica Neue" w:eastAsia="Times New Roman" w:hAnsi="Helvetica Neue" w:cs="Times New Roman"/>
          <w:color w:val="3E3F3A"/>
          <w:sz w:val="21"/>
          <w:szCs w:val="21"/>
          <w:shd w:val="clear" w:color="auto" w:fill="FFFFFF"/>
          <w:lang w:val="en-CA"/>
        </w:rPr>
        <w:t>levels</w:t>
      </w:r>
      <w:r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Pr>
          <w:rFonts w:ascii="Helvetica Neue" w:eastAsia="Times New Roman" w:hAnsi="Helvetica Neue" w:cs="Times New Roman"/>
          <w:color w:val="3E3F3A"/>
          <w:sz w:val="21"/>
          <w:szCs w:val="21"/>
          <w:shd w:val="clear" w:color="auto" w:fill="FFFFFF"/>
          <w:lang w:val="en-CA"/>
        </w:rPr>
        <w:t>. –</w:t>
      </w:r>
      <w:proofErr w:type="gramStart"/>
      <w:r>
        <w:rPr>
          <w:rFonts w:ascii="Helvetica Neue" w:eastAsia="Times New Roman" w:hAnsi="Helvetica Neue" w:cs="Times New Roman"/>
          <w:color w:val="3E3F3A"/>
          <w:sz w:val="21"/>
          <w:szCs w:val="21"/>
          <w:shd w:val="clear" w:color="auto" w:fill="FFFFFF"/>
          <w:lang w:val="en-CA"/>
        </w:rPr>
        <w:t>plus</w:t>
      </w:r>
      <w:proofErr w:type="gramEnd"/>
      <w:r>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 –describe other studies that may have provided evidence that local protection does enhance resistance (</w:t>
      </w:r>
      <w:proofErr w:type="spellStart"/>
      <w:r>
        <w:rPr>
          <w:rFonts w:ascii="Helvetica Neue" w:eastAsia="Times New Roman" w:hAnsi="Helvetica Neue" w:cs="Times New Roman"/>
          <w:color w:val="3E3F3A"/>
          <w:sz w:val="21"/>
          <w:szCs w:val="21"/>
          <w:shd w:val="clear" w:color="auto" w:fill="FFFFFF"/>
          <w:lang w:val="en-CA"/>
        </w:rPr>
        <w:t>Carilli</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 xml:space="preserve">) – </w:t>
      </w:r>
      <w:r w:rsidRPr="00F375C9">
        <w:rPr>
          <w:rFonts w:ascii="Helvetica Neue" w:eastAsia="Times New Roman" w:hAnsi="Helvetica Neue" w:cs="Times New Roman"/>
          <w:color w:val="3E3F3A"/>
          <w:sz w:val="21"/>
          <w:szCs w:val="21"/>
          <w:shd w:val="clear" w:color="auto" w:fill="FFFFFF"/>
          <w:lang w:val="en-CA"/>
        </w:rPr>
        <w:t>-it has been unclear via what mechanism local protection would enhance co</w:t>
      </w:r>
      <w:r>
        <w:rPr>
          <w:rFonts w:ascii="Helvetica Neue" w:eastAsia="Times New Roman" w:hAnsi="Helvetica Neue" w:cs="Times New Roman"/>
          <w:color w:val="3E3F3A"/>
          <w:sz w:val="21"/>
          <w:szCs w:val="21"/>
          <w:shd w:val="clear" w:color="auto" w:fill="FFFFFF"/>
          <w:lang w:val="en-CA"/>
        </w:rPr>
        <w:t xml:space="preserve">ral resistance to heat stress and the mechanism was still unknown. –then a sentence describing what is known about how local protection influences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communities. –</w:t>
      </w:r>
    </w:p>
    <w:p w14:paraId="3BB3DB45"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7DEFB197"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3FBFA2AA" w14:textId="19CED81F" w:rsidR="00C62FF3"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2F45D310" w14:textId="77777777" w:rsidR="00125AFC" w:rsidRPr="00CF6618"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5"/>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7A60C0">
        <w:rPr>
          <w:rFonts w:ascii="Helvetica Neue" w:eastAsia="Times New Roman" w:hAnsi="Helvetica Neue" w:cs="Times New Roman"/>
          <w:color w:val="3E3F3A"/>
          <w:sz w:val="21"/>
          <w:szCs w:val="21"/>
          <w:shd w:val="clear" w:color="auto" w:fill="FFFFFF"/>
          <w:lang w:val="en-CA"/>
        </w:rPr>
        <w:t>were able to</w:t>
      </w:r>
      <w:proofErr w:type="gramEnd"/>
      <w:r w:rsidRPr="007A60C0">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t>
      </w:r>
      <w:r w:rsidRPr="007A60C0">
        <w:rPr>
          <w:rFonts w:ascii="Helvetica Neue" w:eastAsia="Times New Roman" w:hAnsi="Helvetica Neue" w:cs="Times New Roman"/>
          <w:color w:val="3E3F3A"/>
          <w:sz w:val="21"/>
          <w:szCs w:val="21"/>
          <w:shd w:val="clear" w:color="auto" w:fill="FFFFFF"/>
          <w:lang w:val="en-CA"/>
        </w:rPr>
        <w:lastRenderedPageBreak/>
        <w:t xml:space="preserve">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5"/>
      <w:r w:rsidR="007A60C0">
        <w:rPr>
          <w:rStyle w:val="CommentReference"/>
        </w:rPr>
        <w:commentReference w:id="5"/>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6"/>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as corals that house clade D symbionts may have slower growth rates [@Little2004-tm] or lower capacity for energy storage [@Jones2011-nf].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7"/>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7"/>
      <w:r w:rsidR="00113A12">
        <w:rPr>
          <w:rStyle w:val="CommentReference"/>
        </w:rPr>
        <w:commentReference w:id="7"/>
      </w:r>
      <w:commentRangeStart w:id="8"/>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8"/>
      <w:r w:rsidR="00113A12">
        <w:rPr>
          <w:rStyle w:val="CommentReference"/>
        </w:rPr>
        <w:commentReference w:id="8"/>
      </w:r>
      <w:commentRangeEnd w:id="6"/>
      <w:r w:rsidR="007A60C0">
        <w:rPr>
          <w:rStyle w:val="CommentReference"/>
        </w:rPr>
        <w:commentReference w:id="6"/>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FA48E1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9"/>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w:t>
      </w:r>
      <w:r w:rsidRPr="007A60C0">
        <w:rPr>
          <w:rFonts w:ascii="Helvetica Neue" w:eastAsia="Times New Roman" w:hAnsi="Helvetica Neue" w:cs="Times New Roman"/>
          <w:color w:val="3E3F3A"/>
          <w:sz w:val="21"/>
          <w:szCs w:val="21"/>
          <w:shd w:val="clear" w:color="auto" w:fill="FFFFFF"/>
          <w:lang w:val="en-CA"/>
        </w:rPr>
        <w:lastRenderedPageBreak/>
        <w:t xml:space="preserve">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9"/>
      <w:r w:rsidR="007A60C0">
        <w:rPr>
          <w:rStyle w:val="CommentReference"/>
        </w:rPr>
        <w:commentReference w:id="9"/>
      </w:r>
    </w:p>
    <w:p w14:paraId="4C01FC7B" w14:textId="60E08550" w:rsidR="00046BBA" w:rsidRDefault="00871032"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0"/>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commentRangeEnd w:id="10"/>
      <w:r w:rsidR="007A60C0">
        <w:rPr>
          <w:rStyle w:val="CommentReference"/>
        </w:rPr>
        <w:commentReference w:id="10"/>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1"/>
      <w:r w:rsidRPr="00194FB4">
        <w:rPr>
          <w:rFonts w:ascii="Helvetica Neue" w:eastAsia="Times New Roman" w:hAnsi="Helvetica Neue" w:cs="Times New Roman"/>
          <w:color w:val="3E3F3A"/>
          <w:sz w:val="32"/>
          <w:szCs w:val="32"/>
          <w:shd w:val="clear" w:color="auto" w:fill="FFFFFF"/>
          <w:lang w:val="en-CA"/>
        </w:rPr>
        <w:t>Methods</w:t>
      </w:r>
      <w:commentRangeEnd w:id="11"/>
      <w:r w:rsidRPr="00194FB4">
        <w:rPr>
          <w:rStyle w:val="CommentReference"/>
          <w:sz w:val="32"/>
          <w:szCs w:val="32"/>
        </w:rPr>
        <w:commentReference w:id="11"/>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w:t>
      </w:r>
      <w:r w:rsidR="009C5F83">
        <w:rPr>
          <w:rFonts w:ascii="Helvetica Neue" w:eastAsia="Times New Roman" w:hAnsi="Helvetica Neue" w:cs="Times New Roman"/>
          <w:color w:val="3E3F3A"/>
          <w:sz w:val="21"/>
          <w:szCs w:val="21"/>
          <w:shd w:val="clear" w:color="auto" w:fill="FFFFFF"/>
          <w:lang w:val="en-CA"/>
        </w:rPr>
        <w:lastRenderedPageBreak/>
        <w:t xml:space="preserve">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9ABEBE3"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Corals are sensitive t</w:t>
      </w:r>
      <w:r w:rsidR="00777444">
        <w:rPr>
          <w:rFonts w:ascii="Helvetica Neue" w:eastAsia="Times New Roman" w:hAnsi="Helvetica Neue" w:cs="Times New Roman"/>
          <w:color w:val="3E3F3A"/>
          <w:sz w:val="21"/>
          <w:szCs w:val="21"/>
          <w:shd w:val="clear" w:color="auto" w:fill="FFFFFF"/>
          <w:lang w:val="en-CA"/>
        </w:rPr>
        <w:t>o temperatures warmer than 1°</w:t>
      </w:r>
      <w:r w:rsidR="00777444"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w:t>
      </w:r>
      <w:r w:rsidR="00EB0019">
        <w:rPr>
          <w:rFonts w:ascii="Helvetica Neue" w:eastAsia="Times New Roman" w:hAnsi="Helvetica Neue" w:cs="Times New Roman"/>
          <w:color w:val="3E3F3A"/>
          <w:sz w:val="21"/>
          <w:szCs w:val="21"/>
          <w:shd w:val="clear" w:color="auto" w:fill="FFFFFF"/>
          <w:lang w:val="en-CA"/>
        </w:rPr>
        <w:t>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hour sampling grid, and then averaged to determine ‘half week’ temperature (</w:t>
      </w:r>
      <w:proofErr w:type="gramStart"/>
      <w:r w:rsidR="00EB0019">
        <w:rPr>
          <w:rFonts w:ascii="Helvetica Neue" w:eastAsia="Times New Roman" w:hAnsi="Helvetica Neue" w:cs="Times New Roman"/>
          <w:color w:val="3E3F3A"/>
          <w:sz w:val="21"/>
          <w:szCs w:val="21"/>
          <w:shd w:val="clear" w:color="auto" w:fill="FFFFFF"/>
          <w:lang w:val="en-CA"/>
        </w:rPr>
        <w:t>similar to</w:t>
      </w:r>
      <w:proofErr w:type="gramEnd"/>
      <w:r w:rsidR="00EB0019">
        <w:rPr>
          <w:rFonts w:ascii="Helvetica Neue" w:eastAsia="Times New Roman" w:hAnsi="Helvetica Neue" w:cs="Times New Roman"/>
          <w:color w:val="3E3F3A"/>
          <w:sz w:val="21"/>
          <w:szCs w:val="21"/>
          <w:shd w:val="clear" w:color="auto" w:fill="FFFFFF"/>
          <w:lang w:val="en-CA"/>
        </w:rPr>
        <w:t xml:space="preserve">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are discarded</w:t>
      </w:r>
      <w:r w:rsidR="00777444">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with each of the 24 half-week cumulative hotspot measurements divided by </w:t>
      </w:r>
      <w:r w:rsidR="00777444">
        <w:rPr>
          <w:rFonts w:ascii="Helvetica Neue" w:eastAsia="Times New Roman" w:hAnsi="Helvetica Neue" w:cs="Times New Roman"/>
          <w:color w:val="3E3F3A"/>
          <w:sz w:val="21"/>
          <w:szCs w:val="21"/>
          <w:shd w:val="clear" w:color="auto" w:fill="FFFFFF"/>
          <w:lang w:val="en-CA"/>
        </w:rPr>
        <w:t>two</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 xml:space="preserve">DHW </w:t>
      </w:r>
      <w:r w:rsidR="00777444">
        <w:rPr>
          <w:rFonts w:ascii="Helvetica Neue" w:eastAsia="Times New Roman" w:hAnsi="Helvetica Neue" w:cs="Times New Roman"/>
          <w:color w:val="3E3F3A"/>
          <w:sz w:val="21"/>
          <w:szCs w:val="21"/>
          <w:shd w:val="clear" w:color="auto" w:fill="FFFFFF"/>
          <w:lang w:val="en-CA"/>
        </w:rPr>
        <w:t xml:space="preserve">is calculated as a rolling sum over twelve weeks, demonstrating cumulative heat stress </w:t>
      </w:r>
      <w:r w:rsidR="00777444" w:rsidRPr="00A1049C">
        <w:rPr>
          <w:rFonts w:ascii="Helvetica Neue" w:eastAsia="Times New Roman" w:hAnsi="Helvetica Neue" w:cs="Times New Roman"/>
          <w:color w:val="3E3F3A"/>
          <w:sz w:val="21"/>
          <w:szCs w:val="21"/>
          <w:shd w:val="clear" w:color="auto" w:fill="FFFFFF"/>
          <w:lang w:val="en-CA"/>
        </w:rPr>
        <w:t>exceeding the bleac</w:t>
      </w:r>
      <w:r w:rsidR="00777444">
        <w:rPr>
          <w:rFonts w:ascii="Helvetica Neue" w:eastAsia="Times New Roman" w:hAnsi="Helvetica Neue" w:cs="Times New Roman"/>
          <w:color w:val="3E3F3A"/>
          <w:sz w:val="21"/>
          <w:szCs w:val="21"/>
          <w:shd w:val="clear" w:color="auto" w:fill="FFFFFF"/>
          <w:lang w:val="en-CA"/>
        </w:rPr>
        <w:t xml:space="preserve">hing threshold during that </w:t>
      </w:r>
      <w:r w:rsidR="00777444" w:rsidRPr="00A1049C">
        <w:rPr>
          <w:rFonts w:ascii="Helvetica Neue" w:eastAsia="Times New Roman" w:hAnsi="Helvetica Neue" w:cs="Times New Roman"/>
          <w:color w:val="3E3F3A"/>
          <w:sz w:val="21"/>
          <w:szCs w:val="21"/>
          <w:shd w:val="clear" w:color="auto" w:fill="FFFFFF"/>
          <w:lang w:val="en-CA"/>
        </w:rPr>
        <w:t xml:space="preserve">period. </w:t>
      </w:r>
      <w:r w:rsidR="00EB0019">
        <w:rPr>
          <w:rFonts w:ascii="Helvetica Neue" w:eastAsia="Times New Roman" w:hAnsi="Helvetica Neue" w:cs="Times New Roman"/>
          <w:color w:val="3E3F3A"/>
          <w:sz w:val="21"/>
          <w:szCs w:val="21"/>
          <w:shd w:val="clear" w:color="auto" w:fill="FFFFFF"/>
          <w:lang w:val="en-CA"/>
        </w:rPr>
        <w:t xml:space="preserve">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w:t>
      </w:r>
      <w:proofErr w:type="gramStart"/>
      <w:r w:rsidR="00EB0019">
        <w:rPr>
          <w:rFonts w:ascii="Helvetica Neue" w:eastAsia="Times New Roman" w:hAnsi="Helvetica Neue" w:cs="Times New Roman"/>
          <w:color w:val="3E3F3A"/>
          <w:sz w:val="21"/>
          <w:szCs w:val="21"/>
          <w:shd w:val="clear" w:color="auto" w:fill="FFFFFF"/>
          <w:lang w:val="en-CA"/>
        </w:rPr>
        <w:t>time period</w:t>
      </w:r>
      <w:proofErr w:type="gramEnd"/>
      <w:r w:rsidR="00EB0019">
        <w:rPr>
          <w:rFonts w:ascii="Helvetica Neue" w:eastAsia="Times New Roman" w:hAnsi="Helvetica Neue" w:cs="Times New Roman"/>
          <w:color w:val="3E3F3A"/>
          <w:sz w:val="21"/>
          <w:szCs w:val="21"/>
          <w:shd w:val="clear" w:color="auto" w:fill="FFFFFF"/>
          <w:lang w:val="en-CA"/>
        </w:rPr>
        <w:t xml:space="preserve">,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2E88FC2C"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and half of the sample was </w:t>
      </w:r>
      <w:r w:rsidRPr="002F0A80">
        <w:rPr>
          <w:rFonts w:ascii="Helvetica Neue" w:eastAsia="Times New Roman" w:hAnsi="Helvetica Neue" w:cs="Times New Roman"/>
          <w:color w:val="3E3F3A"/>
          <w:sz w:val="21"/>
          <w:szCs w:val="21"/>
          <w:shd w:val="clear" w:color="auto" w:fill="FFFFFF"/>
          <w:lang w:val="en-CA"/>
        </w:rPr>
        <w:t>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The other half of the sample was preserved in </w:t>
      </w:r>
      <w:commentRangeStart w:id="12"/>
      <w:r w:rsidR="008F0D83">
        <w:rPr>
          <w:rFonts w:ascii="Helvetica Neue" w:eastAsia="Times New Roman" w:hAnsi="Helvetica Neue" w:cs="Times New Roman"/>
          <w:color w:val="3E3F3A"/>
          <w:sz w:val="21"/>
          <w:szCs w:val="21"/>
          <w:shd w:val="clear" w:color="auto" w:fill="FFFFFF"/>
          <w:lang w:val="en-CA"/>
        </w:rPr>
        <w:t>SDS in DNA buffer</w:t>
      </w:r>
      <w:commentRangeEnd w:id="12"/>
      <w:r w:rsidR="008F0D83">
        <w:rPr>
          <w:rStyle w:val="CommentReference"/>
        </w:rPr>
        <w:commentReference w:id="12"/>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3"/>
      <w:r w:rsidR="008F0D83">
        <w:rPr>
          <w:rFonts w:ascii="Helvetica Neue" w:eastAsia="Times New Roman" w:hAnsi="Helvetica Neue" w:cs="Times New Roman"/>
          <w:color w:val="3E3F3A"/>
          <w:sz w:val="21"/>
          <w:szCs w:val="21"/>
          <w:shd w:val="clear" w:color="auto" w:fill="FFFFFF"/>
          <w:lang w:val="en-CA"/>
        </w:rPr>
        <w:t xml:space="preserve">protocol </w:t>
      </w:r>
      <w:commentRangeEnd w:id="13"/>
      <w:r w:rsidR="008F0D83">
        <w:rPr>
          <w:rStyle w:val="CommentReference"/>
        </w:rPr>
        <w:commentReference w:id="13"/>
      </w:r>
      <w:r w:rsidR="008F0D83">
        <w:rPr>
          <w:rFonts w:ascii="Helvetica Neue" w:eastAsia="Times New Roman" w:hAnsi="Helvetica Neue" w:cs="Times New Roman"/>
          <w:color w:val="3E3F3A"/>
          <w:sz w:val="21"/>
          <w:szCs w:val="21"/>
          <w:shd w:val="clear" w:color="auto" w:fill="FFFFFF"/>
          <w:lang w:val="en-CA"/>
        </w:rPr>
        <w:t>for qPCR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qPCR, DNA extraction was performed using an organic extraction method following </w:t>
      </w:r>
      <w:commentRangeStart w:id="14"/>
      <w:r>
        <w:rPr>
          <w:rFonts w:ascii="Helvetica Neue" w:eastAsia="Times New Roman" w:hAnsi="Helvetica Neue" w:cs="Times New Roman"/>
          <w:color w:val="3E3F3A"/>
          <w:sz w:val="21"/>
          <w:szCs w:val="21"/>
          <w:shd w:val="clear" w:color="auto" w:fill="FFFFFF"/>
          <w:lang w:val="en-CA"/>
        </w:rPr>
        <w:t>[CITE HERE]</w:t>
      </w:r>
      <w:commentRangeEnd w:id="14"/>
      <w:r>
        <w:rPr>
          <w:rStyle w:val="CommentReference"/>
        </w:rPr>
        <w:commentReference w:id="14"/>
      </w:r>
      <w:r>
        <w:rPr>
          <w:rFonts w:ascii="Helvetica Neue" w:eastAsia="Times New Roman" w:hAnsi="Helvetica Neue" w:cs="Times New Roman"/>
          <w:color w:val="3E3F3A"/>
          <w:sz w:val="21"/>
          <w:szCs w:val="21"/>
          <w:shd w:val="clear" w:color="auto" w:fill="FFFFFF"/>
          <w:lang w:val="en-CA"/>
        </w:rPr>
        <w:t xml:space="preserve">. Briefly, </w:t>
      </w:r>
      <w:commentRangeStart w:id="15"/>
      <w:r>
        <w:rPr>
          <w:rFonts w:ascii="Helvetica Neue" w:eastAsia="Times New Roman" w:hAnsi="Helvetica Neue" w:cs="Times New Roman"/>
          <w:color w:val="3E3F3A"/>
          <w:sz w:val="21"/>
          <w:szCs w:val="21"/>
          <w:shd w:val="clear" w:color="auto" w:fill="FFFFFF"/>
          <w:lang w:val="en-CA"/>
        </w:rPr>
        <w:t>…</w:t>
      </w:r>
      <w:commentRangeEnd w:id="15"/>
      <w:r>
        <w:rPr>
          <w:rStyle w:val="CommentReference"/>
        </w:rPr>
        <w:commentReference w:id="15"/>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w:t>
      </w:r>
      <w:proofErr w:type="spellStart"/>
      <w:r>
        <w:rPr>
          <w:rFonts w:ascii="Helvetica Neue" w:eastAsia="Times New Roman" w:hAnsi="Helvetica Neue" w:cs="Times New Roman"/>
          <w:b/>
          <w:color w:val="3E3F3A"/>
          <w:sz w:val="21"/>
          <w:szCs w:val="21"/>
          <w:shd w:val="clear" w:color="auto" w:fill="FFFFFF"/>
          <w:lang w:val="en-CA"/>
        </w:rPr>
        <w:t>MiSeq</w:t>
      </w:r>
      <w:proofErr w:type="spellEnd"/>
      <w:r>
        <w:rPr>
          <w:rFonts w:ascii="Helvetica Neue" w:eastAsia="Times New Roman" w:hAnsi="Helvetica Neue" w:cs="Times New Roman"/>
          <w:b/>
          <w:color w:val="3E3F3A"/>
          <w:sz w:val="21"/>
          <w:szCs w:val="21"/>
          <w:shd w:val="clear" w:color="auto" w:fill="FFFFFF"/>
          <w:lang w:val="en-CA"/>
        </w:rPr>
        <w:t>) Amplicon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lastRenderedPageBreak/>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6"/>
      <w:r>
        <w:rPr>
          <w:rFonts w:ascii="Helvetica Neue" w:eastAsia="Times New Roman" w:hAnsi="Helvetica Neue" w:cs="Times New Roman"/>
          <w:i/>
          <w:color w:val="3E3F3A"/>
          <w:sz w:val="21"/>
          <w:szCs w:val="21"/>
          <w:shd w:val="clear" w:color="auto" w:fill="FFFFFF"/>
          <w:lang w:val="en-CA"/>
        </w:rPr>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Primer design for </w:t>
      </w:r>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 xml:space="preserve">a </w:t>
      </w:r>
      <w:proofErr w:type="spellStart"/>
      <w:r>
        <w:rPr>
          <w:rFonts w:ascii="Helvetica Neue" w:eastAsia="Times New Roman" w:hAnsi="Helvetica Neue" w:cs="Times New Roman"/>
          <w:i/>
          <w:color w:val="3E3F3A"/>
          <w:sz w:val="21"/>
          <w:szCs w:val="21"/>
          <w:shd w:val="clear" w:color="auto" w:fill="FFFFFF"/>
          <w:lang w:val="en-CA"/>
        </w:rPr>
        <w:t>daedalea</w:t>
      </w:r>
      <w:proofErr w:type="spellEnd"/>
      <w:r>
        <w:rPr>
          <w:rFonts w:ascii="Helvetica Neue" w:eastAsia="Times New Roman" w:hAnsi="Helvetica Neue" w:cs="Times New Roman"/>
          <w:color w:val="3E3F3A"/>
          <w:sz w:val="21"/>
          <w:szCs w:val="21"/>
          <w:shd w:val="clear" w:color="auto" w:fill="FFFFFF"/>
          <w:lang w:val="en-CA"/>
        </w:rPr>
        <w:t>, choice of primers and validation…</w:t>
      </w:r>
      <w:commentRangeEnd w:id="16"/>
      <w:r>
        <w:rPr>
          <w:rStyle w:val="CommentReference"/>
        </w:rPr>
        <w:commentReference w:id="16"/>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7"/>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PCR conditions, machine used,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w:t>
      </w:r>
      <w:commentRangeEnd w:id="17"/>
      <w:r>
        <w:rPr>
          <w:rStyle w:val="CommentReference"/>
        </w:rPr>
        <w:commentReference w:id="17"/>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proofErr w:type="gramStart"/>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w:t>
      </w:r>
      <w:proofErr w:type="gramEnd"/>
      <w:r>
        <w:rPr>
          <w:rFonts w:ascii="Helvetica Neue" w:eastAsia="Times New Roman" w:hAnsi="Helvetica Neue" w:cs="Times New Roman"/>
          <w:color w:val="3E3F3A"/>
          <w:sz w:val="21"/>
          <w:szCs w:val="21"/>
          <w:shd w:val="clear" w:color="auto" w:fill="FFFFFF"/>
          <w:lang w:val="en-CA"/>
        </w:rPr>
        <w:t>,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8"/>
    </w:p>
    <w:commentRangeEnd w:id="18"/>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lastRenderedPageBreak/>
        <w:commentReference w:id="18"/>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w:t>
      </w:r>
      <w:proofErr w:type="spellStart"/>
      <w:r w:rsidR="009419FB">
        <w:rPr>
          <w:rFonts w:ascii="Helvetica Neue" w:eastAsia="Times New Roman" w:hAnsi="Helvetica Neue" w:cs="Times New Roman"/>
          <w:sz w:val="21"/>
          <w:szCs w:val="21"/>
          <w:shd w:val="clear" w:color="auto" w:fill="FFFFFF"/>
          <w:lang w:val="en-CA"/>
        </w:rPr>
        <w:t>anova.cca</w:t>
      </w:r>
      <w:proofErr w:type="spellEnd"/>
      <w:r w:rsidR="009419FB">
        <w:rPr>
          <w:rFonts w:ascii="Helvetica Neue" w:eastAsia="Times New Roman" w:hAnsi="Helvetica Neue" w:cs="Times New Roman"/>
          <w:sz w:val="21"/>
          <w:szCs w:val="21"/>
          <w:shd w:val="clear" w:color="auto" w:fill="FFFFFF"/>
          <w:lang w:val="en-CA"/>
        </w:rPr>
        <w:t>, vegan package</w:t>
      </w:r>
      <w:r w:rsidR="009419FB" w:rsidRPr="0018105D">
        <w:rPr>
          <w:rFonts w:ascii="Helvetica Neue" w:eastAsia="Times New Roman" w:hAnsi="Helvetica Neue" w:cs="Times New Roman"/>
          <w:sz w:val="21"/>
          <w:szCs w:val="21"/>
          <w:shd w:val="clear" w:color="auto" w:fill="FFFFFF"/>
          <w:lang w:val="en-CA"/>
        </w:rPr>
        <w:t xml:space="preserve">; </w:t>
      </w:r>
      <w:proofErr w:type="spellStart"/>
      <w:r w:rsidR="009419FB" w:rsidRPr="0018105D">
        <w:rPr>
          <w:rFonts w:ascii="Helvetica Neue" w:eastAsia="Times New Roman" w:hAnsi="Helvetica Neue" w:cs="Times New Roman"/>
          <w:sz w:val="21"/>
          <w:szCs w:val="21"/>
          <w:shd w:val="clear" w:color="auto" w:fill="FFFFFF"/>
          <w:lang w:val="en-CA"/>
        </w:rPr>
        <w:t>Oksanen</w:t>
      </w:r>
      <w:proofErr w:type="spellEnd"/>
      <w:r w:rsidR="009419FB" w:rsidRPr="0018105D">
        <w:rPr>
          <w:rFonts w:ascii="Helvetica Neue" w:eastAsia="Times New Roman" w:hAnsi="Helvetica Neue" w:cs="Times New Roman"/>
          <w:sz w:val="21"/>
          <w:szCs w:val="21"/>
          <w:shd w:val="clear" w:color="auto" w:fill="FFFFFF"/>
          <w:lang w:val="en-CA"/>
        </w:rPr>
        <w:t xml:space="preserve">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9"/>
      <w:r w:rsidRPr="009B7A7D">
        <w:rPr>
          <w:rFonts w:ascii="Arial" w:hAnsi="Arial" w:cs="Arial"/>
          <w:b/>
          <w:bCs/>
          <w:color w:val="222222"/>
          <w:sz w:val="20"/>
          <w:szCs w:val="20"/>
          <w:lang w:val="en-CA"/>
        </w:rPr>
        <w:lastRenderedPageBreak/>
        <w:t>Acknowledgements</w:t>
      </w:r>
      <w:commentRangeEnd w:id="19"/>
      <w:r w:rsidR="001D3E37">
        <w:rPr>
          <w:rStyle w:val="CommentReference"/>
        </w:rPr>
        <w:commentReference w:id="19"/>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0"/>
      <w:r w:rsidRPr="009B7A7D">
        <w:rPr>
          <w:rFonts w:ascii="Arial" w:hAnsi="Arial" w:cs="Arial"/>
          <w:b/>
          <w:bCs/>
          <w:color w:val="222222"/>
          <w:sz w:val="20"/>
          <w:szCs w:val="20"/>
          <w:lang w:val="en-CA"/>
        </w:rPr>
        <w:t>Author</w:t>
      </w:r>
      <w:commentRangeEnd w:id="20"/>
      <w:r w:rsidR="001D3E37">
        <w:rPr>
          <w:rStyle w:val="CommentReference"/>
        </w:rPr>
        <w:commentReference w:id="20"/>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21"/>
      <w:r w:rsidRPr="009B7A7D">
        <w:rPr>
          <w:rFonts w:ascii="Arial" w:hAnsi="Arial" w:cs="Arial"/>
          <w:b/>
          <w:bCs/>
          <w:color w:val="222222"/>
          <w:sz w:val="20"/>
          <w:szCs w:val="20"/>
          <w:lang w:val="en-CA"/>
        </w:rPr>
        <w:t>Author</w:t>
      </w:r>
      <w:commentRangeEnd w:id="21"/>
      <w:r w:rsidR="001D3E37">
        <w:rPr>
          <w:rStyle w:val="CommentReference"/>
        </w:rPr>
        <w:commentReference w:id="21"/>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0B539F9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22"/>
      <w:r w:rsidRPr="00A1049C">
        <w:rPr>
          <w:rFonts w:ascii="Helvetica Neue" w:eastAsia="Times New Roman" w:hAnsi="Helvetica Neue" w:cs="Times New Roman"/>
          <w:b/>
          <w:color w:val="3E3F3A"/>
          <w:sz w:val="21"/>
          <w:szCs w:val="21"/>
          <w:shd w:val="clear" w:color="auto" w:fill="FFFFFF"/>
          <w:lang w:val="en-CA"/>
        </w:rPr>
        <w:t>Figure</w:t>
      </w:r>
      <w:commentRangeEnd w:id="22"/>
      <w:r>
        <w:rPr>
          <w:rStyle w:val="CommentReference"/>
        </w:rPr>
        <w:commentReference w:id="22"/>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coral from healthy – bleached – recovered, at the epicentre of the 2015-2016 El Niño. a.</w:t>
      </w:r>
      <w:r w:rsidRPr="00A1049C">
        <w:rPr>
          <w:rFonts w:ascii="Helvetica Neue" w:eastAsia="Times New Roman" w:hAnsi="Helvetica Neue" w:cs="Times New Roman"/>
          <w:color w:val="3E3F3A"/>
          <w:sz w:val="21"/>
          <w:szCs w:val="21"/>
          <w:shd w:val="clear" w:color="auto" w:fill="FFFFFF"/>
          <w:lang w:val="en-CA"/>
        </w:rPr>
        <w:t xml:space="preserve"> </w:t>
      </w:r>
      <w:r w:rsidR="00A8692D" w:rsidRPr="00A8692D">
        <w:rPr>
          <w:rFonts w:ascii="Helvetica Neue" w:eastAsia="Times New Roman" w:hAnsi="Helvetica Neue" w:cs="Times New Roman"/>
          <w:i/>
          <w:color w:val="3E3F3A"/>
          <w:sz w:val="21"/>
          <w:szCs w:val="21"/>
          <w:shd w:val="clear" w:color="auto" w:fill="FFFFFF"/>
          <w:lang w:val="en-CA"/>
        </w:rPr>
        <w:t>I</w:t>
      </w:r>
      <w:r w:rsidR="003166B8" w:rsidRPr="00A1049C">
        <w:rPr>
          <w:rFonts w:ascii="Helvetica Neue" w:eastAsia="Times New Roman" w:hAnsi="Helvetica Neue" w:cs="Times New Roman"/>
          <w:i/>
          <w:iCs/>
          <w:color w:val="3E3F3A"/>
          <w:sz w:val="21"/>
          <w:szCs w:val="21"/>
          <w:lang w:val="en-CA"/>
        </w:rPr>
        <w:t>n situ</w:t>
      </w:r>
      <w:r w:rsidR="003166B8">
        <w:rPr>
          <w:rFonts w:ascii="Helvetica Neue" w:eastAsia="Times New Roman" w:hAnsi="Helvetica Neue" w:cs="Times New Roman"/>
          <w:i/>
          <w:iCs/>
          <w:color w:val="3E3F3A"/>
          <w:sz w:val="21"/>
          <w:szCs w:val="21"/>
          <w:lang w:val="en-CA"/>
        </w:rPr>
        <w:t xml:space="preserve"> </w:t>
      </w:r>
      <w:r w:rsidR="003D5C1B">
        <w:rPr>
          <w:rFonts w:ascii="Helvetica Neue" w:eastAsia="Times New Roman" w:hAnsi="Helvetica Neue" w:cs="Times New Roman"/>
          <w:iCs/>
          <w:color w:val="3E3F3A"/>
          <w:sz w:val="21"/>
          <w:szCs w:val="21"/>
          <w:lang w:val="en-CA"/>
        </w:rPr>
        <w:t xml:space="preserve">temperature </w:t>
      </w:r>
      <w:r w:rsidR="003166B8">
        <w:rPr>
          <w:rFonts w:ascii="Helvetica Neue" w:eastAsia="Times New Roman" w:hAnsi="Helvetica Neue" w:cs="Times New Roman"/>
          <w:color w:val="3E3F3A"/>
          <w:sz w:val="21"/>
          <w:szCs w:val="21"/>
          <w:shd w:val="clear" w:color="auto" w:fill="FFFFFF"/>
          <w:lang w:val="en-CA"/>
        </w:rPr>
        <w:t>on Kiritimati</w:t>
      </w:r>
      <w:r w:rsidR="00BE549E">
        <w:rPr>
          <w:rFonts w:ascii="Helvetica Neue" w:eastAsia="Times New Roman" w:hAnsi="Helvetica Neue" w:cs="Times New Roman"/>
          <w:color w:val="3E3F3A"/>
          <w:sz w:val="21"/>
          <w:szCs w:val="21"/>
          <w:shd w:val="clear" w:color="auto" w:fill="FFFFFF"/>
          <w:lang w:val="en-CA"/>
        </w:rPr>
        <w:t xml:space="preserve"> (black) and bleaching threshold (red line). Color fill</w:t>
      </w:r>
      <w:r w:rsidR="003166B8">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show</w:t>
      </w:r>
      <w:r w:rsidR="00BE549E">
        <w:rPr>
          <w:rFonts w:ascii="Helvetica Neue" w:eastAsia="Times New Roman" w:hAnsi="Helvetica Neue" w:cs="Times New Roman"/>
          <w:color w:val="3E3F3A"/>
          <w:sz w:val="21"/>
          <w:szCs w:val="21"/>
          <w:shd w:val="clear" w:color="auto" w:fill="FFFFFF"/>
          <w:lang w:val="en-CA"/>
        </w:rPr>
        <w:t>s thermal</w:t>
      </w:r>
      <w:r w:rsidR="003166B8" w:rsidRPr="00A1049C">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thresholds</w:t>
      </w:r>
      <w:r w:rsidR="003166B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4°</w:t>
      </w:r>
      <w:r w:rsidRPr="00A1049C">
        <w:rPr>
          <w:rFonts w:ascii="Helvetica Neue" w:eastAsia="Times New Roman" w:hAnsi="Helvetica Neue" w:cs="Times New Roman"/>
          <w:color w:val="3E3F3A"/>
          <w:sz w:val="21"/>
          <w:szCs w:val="21"/>
          <w:shd w:val="clear" w:color="auto" w:fill="FFFFFF"/>
          <w:lang w:val="en-CA"/>
        </w:rPr>
        <w:t xml:space="preserve">C </w:t>
      </w:r>
      <w:r w:rsidR="00777444">
        <w:rPr>
          <w:rFonts w:ascii="Helvetica Neue" w:eastAsia="Times New Roman" w:hAnsi="Helvetica Neue" w:cs="Times New Roman"/>
          <w:color w:val="3E3F3A"/>
          <w:sz w:val="21"/>
          <w:szCs w:val="21"/>
          <w:shd w:val="clear" w:color="auto" w:fill="FFFFFF"/>
          <w:lang w:val="en-CA"/>
        </w:rPr>
        <w:t xml:space="preserve">and </w:t>
      </w:r>
      <w:r w:rsidR="00777444">
        <w:rPr>
          <w:rFonts w:ascii="Helvetica Neue" w:eastAsia="Times New Roman" w:hAnsi="Helvetica Neue" w:cs="Times New Roman"/>
          <w:color w:val="3E3F3A"/>
          <w:sz w:val="21"/>
          <w:szCs w:val="21"/>
          <w:shd w:val="clear" w:color="auto" w:fill="FFFFFF"/>
          <w:lang w:val="en-CA"/>
        </w:rPr>
        <w:t>8°</w:t>
      </w:r>
      <w:r w:rsidR="00777444" w:rsidRPr="00A1049C">
        <w:rPr>
          <w:rFonts w:ascii="Helvetica Neue" w:eastAsia="Times New Roman" w:hAnsi="Helvetica Neue" w:cs="Times New Roman"/>
          <w:color w:val="3E3F3A"/>
          <w:sz w:val="21"/>
          <w:szCs w:val="21"/>
          <w:shd w:val="clear" w:color="auto" w:fill="FFFFFF"/>
          <w:lang w:val="en-CA"/>
        </w:rPr>
        <w:t>C (</w:t>
      </w:r>
      <w:r w:rsidR="00777444">
        <w:rPr>
          <w:rFonts w:ascii="Helvetica Neue" w:eastAsia="Times New Roman" w:hAnsi="Helvetica Neue" w:cs="Times New Roman"/>
          <w:color w:val="3E3F3A"/>
          <w:sz w:val="21"/>
          <w:szCs w:val="21"/>
          <w:shd w:val="clear" w:color="auto" w:fill="FFFFFF"/>
          <w:lang w:val="en-CA"/>
        </w:rPr>
        <w:t>yellow</w:t>
      </w:r>
      <w:r w:rsidR="00A8692D">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light orange)</w:t>
      </w:r>
      <w:r w:rsidR="003166B8">
        <w:rPr>
          <w:rFonts w:ascii="Helvetica Neue" w:eastAsia="Times New Roman" w:hAnsi="Helvetica Neue" w:cs="Times New Roman"/>
          <w:color w:val="3E3F3A"/>
          <w:sz w:val="21"/>
          <w:szCs w:val="21"/>
          <w:shd w:val="clear" w:color="auto" w:fill="FFFFFF"/>
          <w:lang w:val="en-CA"/>
        </w:rPr>
        <w:t xml:space="preserve">, NOAA CRW </w:t>
      </w:r>
      <w:r w:rsidRPr="00A1049C">
        <w:rPr>
          <w:rFonts w:ascii="Helvetica Neue" w:eastAsia="Times New Roman" w:hAnsi="Helvetica Neue" w:cs="Times New Roman"/>
          <w:color w:val="3E3F3A"/>
          <w:sz w:val="21"/>
          <w:szCs w:val="21"/>
          <w:shd w:val="clear" w:color="auto" w:fill="FFFFFF"/>
          <w:lang w:val="en-CA"/>
        </w:rPr>
        <w:t xml:space="preserve">Bleaching </w:t>
      </w:r>
      <w:r>
        <w:rPr>
          <w:rFonts w:ascii="Helvetica Neue" w:eastAsia="Times New Roman" w:hAnsi="Helvetica Neue" w:cs="Times New Roman"/>
          <w:color w:val="3E3F3A"/>
          <w:sz w:val="21"/>
          <w:szCs w:val="21"/>
          <w:shd w:val="clear" w:color="auto" w:fill="FFFFFF"/>
          <w:lang w:val="en-CA"/>
        </w:rPr>
        <w:t>Alert Level 1</w:t>
      </w:r>
      <w:r w:rsidR="00F15EFB">
        <w:rPr>
          <w:rFonts w:ascii="Helvetica Neue" w:eastAsia="Times New Roman" w:hAnsi="Helvetica Neue" w:cs="Times New Roman"/>
          <w:color w:val="3E3F3A"/>
          <w:sz w:val="21"/>
          <w:szCs w:val="21"/>
          <w:shd w:val="clear" w:color="auto" w:fill="FFFFFF"/>
          <w:lang w:val="en-CA"/>
        </w:rPr>
        <w:t xml:space="preserve"> </w:t>
      </w:r>
      <w:r w:rsidR="00777444">
        <w:rPr>
          <w:rFonts w:ascii="Helvetica Neue" w:eastAsia="Times New Roman" w:hAnsi="Helvetica Neue" w:cs="Times New Roman"/>
          <w:color w:val="3E3F3A"/>
          <w:sz w:val="21"/>
          <w:szCs w:val="21"/>
          <w:shd w:val="clear" w:color="auto" w:fill="FFFFFF"/>
          <w:lang w:val="en-CA"/>
        </w:rPr>
        <w:t>and</w:t>
      </w:r>
      <w:r>
        <w:rPr>
          <w:rFonts w:ascii="Helvetica Neue" w:eastAsia="Times New Roman" w:hAnsi="Helvetica Neue" w:cs="Times New Roman"/>
          <w:color w:val="3E3F3A"/>
          <w:sz w:val="21"/>
          <w:szCs w:val="21"/>
          <w:shd w:val="clear" w:color="auto" w:fill="FFFFFF"/>
          <w:lang w:val="en-CA"/>
        </w:rPr>
        <w:t xml:space="preserve"> 2; 12°</w:t>
      </w:r>
      <w:r w:rsidRPr="00A1049C">
        <w:rPr>
          <w:rFonts w:ascii="Helvetica Neue" w:eastAsia="Times New Roman" w:hAnsi="Helvetica Neue" w:cs="Times New Roman"/>
          <w:color w:val="3E3F3A"/>
          <w:sz w:val="21"/>
          <w:szCs w:val="21"/>
          <w:shd w:val="clear" w:color="auto" w:fill="FFFFFF"/>
          <w:lang w:val="en-CA"/>
        </w:rPr>
        <w:t xml:space="preserve">C (dark orange),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(red)</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 xml:space="preserve">-Guldberg 2011).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sidRPr="009B7A7D">
        <w:rPr>
          <w:rFonts w:ascii="Helvetica Neue" w:eastAsia="Times New Roman" w:hAnsi="Helvetica Neue" w:cs="Times New Roman"/>
          <w:i/>
          <w:color w:val="3E3F3A"/>
          <w:sz w:val="21"/>
          <w:szCs w:val="21"/>
          <w:shd w:val="clear" w:color="auto" w:fill="FFFFFF"/>
          <w:lang w:val="en-CA"/>
        </w:rPr>
        <w:t>Platygyra</w:t>
      </w:r>
      <w:r w:rsidR="00777444">
        <w:rPr>
          <w:rFonts w:ascii="Helvetica Neue" w:eastAsia="Times New Roman" w:hAnsi="Helvetica Neue" w:cs="Times New Roman"/>
          <w:i/>
          <w:color w:val="3E3F3A"/>
          <w:sz w:val="21"/>
          <w:szCs w:val="21"/>
          <w:shd w:val="clear" w:color="auto" w:fill="FFFFFF"/>
          <w:lang w:val="en-CA"/>
        </w:rPr>
        <w:t xml:space="preserve"> </w:t>
      </w:r>
      <w:proofErr w:type="spellStart"/>
      <w:r w:rsidR="00777444">
        <w:rPr>
          <w:rFonts w:ascii="Helvetica Neue" w:eastAsia="Times New Roman" w:hAnsi="Helvetica Neue" w:cs="Times New Roman"/>
          <w:i/>
          <w:color w:val="3E3F3A"/>
          <w:sz w:val="21"/>
          <w:szCs w:val="21"/>
          <w:shd w:val="clear" w:color="auto" w:fill="FFFFFF"/>
          <w:lang w:val="en-CA"/>
        </w:rPr>
        <w:t>daedalea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w:t>
      </w:r>
      <w:r w:rsidRPr="00A1049C">
        <w:rPr>
          <w:rFonts w:ascii="Helvetica Neue" w:eastAsia="Times New Roman" w:hAnsi="Helvetica Neue" w:cs="Times New Roman"/>
          <w:color w:val="3E3F3A"/>
          <w:sz w:val="21"/>
          <w:szCs w:val="21"/>
          <w:shd w:val="clear" w:color="auto" w:fill="FFFFFF"/>
          <w:lang w:val="en-CA"/>
        </w:rPr>
        <w:t>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xml:space="preserve">, still alive </w:t>
      </w:r>
      <w:r w:rsidR="003166B8">
        <w:rPr>
          <w:rFonts w:ascii="Helvetica Neue" w:eastAsia="Times New Roman" w:hAnsi="Helvetica Neue" w:cs="Times New Roman"/>
          <w:color w:val="3E3F3A"/>
          <w:sz w:val="21"/>
          <w:szCs w:val="21"/>
          <w:shd w:val="clear" w:color="auto" w:fill="FFFFFF"/>
          <w:lang w:val="en-CA"/>
        </w:rPr>
        <w:t>after</w:t>
      </w:r>
      <w:r w:rsidRPr="00A1049C">
        <w:rPr>
          <w:rFonts w:ascii="Helvetica Neue" w:eastAsia="Times New Roman" w:hAnsi="Helvetica Neue" w:cs="Times New Roman"/>
          <w:color w:val="3E3F3A"/>
          <w:sz w:val="21"/>
          <w:szCs w:val="21"/>
          <w:shd w:val="clear" w:color="auto" w:fill="FFFFFF"/>
          <w:lang w:val="en-CA"/>
        </w:rPr>
        <w:t xml:space="preserve"> heat stress</w:t>
      </w:r>
      <w:r>
        <w:rPr>
          <w:rFonts w:ascii="Helvetica Neue" w:eastAsia="Times New Roman" w:hAnsi="Helvetica Neue" w:cs="Times New Roman"/>
          <w:color w:val="3E3F3A"/>
          <w:sz w:val="21"/>
          <w:szCs w:val="21"/>
          <w:shd w:val="clear" w:color="auto" w:fill="FFFFFF"/>
          <w:lang w:val="en-CA"/>
        </w:rPr>
        <w:t xml:space="preserve"> (vi).</w:t>
      </w:r>
      <w:bookmarkStart w:id="23" w:name="_GoBack"/>
      <w:bookmarkEnd w:id="23"/>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24"/>
      <w:r w:rsidRPr="000B7A24">
        <w:rPr>
          <w:rFonts w:ascii="Helvetica Neue" w:eastAsia="Times New Roman" w:hAnsi="Helvetica Neue" w:cs="Times New Roman"/>
          <w:b/>
          <w:color w:val="3E3F3A"/>
          <w:sz w:val="21"/>
          <w:szCs w:val="21"/>
          <w:shd w:val="clear" w:color="auto" w:fill="FFFFFF"/>
          <w:lang w:val="en-CA"/>
        </w:rPr>
        <w:t>Figure</w:t>
      </w:r>
      <w:commentRangeEnd w:id="24"/>
      <w:r w:rsidR="000B7A24">
        <w:rPr>
          <w:rStyle w:val="CommentReference"/>
        </w:rPr>
        <w:commentReference w:id="24"/>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25"/>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25"/>
      <w:r w:rsidR="001109A4">
        <w:rPr>
          <w:rStyle w:val="CommentReference"/>
        </w:rPr>
        <w:commentReference w:id="25"/>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55115F" w:rsidRPr="00122A09" w:rsidRDefault="0055115F"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5115F" w:rsidRPr="00122A09" w:rsidRDefault="0055115F"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5115F" w:rsidRDefault="0055115F">
      <w:pPr>
        <w:pStyle w:val="CommentText"/>
      </w:pPr>
    </w:p>
  </w:comment>
  <w:comment w:id="1" w:author="Danielle Claar" w:date="2017-08-19T12:24:00Z" w:initials="DC">
    <w:p w14:paraId="4E16584A" w14:textId="00F91834" w:rsidR="0055115F" w:rsidRDefault="0055115F">
      <w:pPr>
        <w:pStyle w:val="CommentText"/>
      </w:pPr>
      <w:r>
        <w:rPr>
          <w:rStyle w:val="CommentReference"/>
        </w:rPr>
        <w:annotationRef/>
      </w:r>
      <w:r>
        <w:t>This paragraph needs a lot of work.</w:t>
      </w:r>
    </w:p>
  </w:comment>
  <w:comment w:id="2" w:author="Danielle Claar" w:date="2017-08-19T12:25:00Z" w:initials="DC">
    <w:p w14:paraId="41ABB59D" w14:textId="71AC320C" w:rsidR="0055115F" w:rsidRDefault="0055115F">
      <w:pPr>
        <w:pStyle w:val="CommentText"/>
      </w:pPr>
      <w:r>
        <w:rPr>
          <w:rStyle w:val="CommentReference"/>
        </w:rPr>
        <w:annotationRef/>
      </w:r>
      <w:r>
        <w:t>This paragraph needs quite a bit of work</w:t>
      </w:r>
    </w:p>
  </w:comment>
  <w:comment w:id="3" w:author="Danielle Claar" w:date="2017-08-19T12:25:00Z" w:initials="DC">
    <w:p w14:paraId="7E9A7121" w14:textId="7AF92244" w:rsidR="0055115F" w:rsidRDefault="0055115F">
      <w:pPr>
        <w:pStyle w:val="CommentText"/>
      </w:pPr>
      <w:r>
        <w:rPr>
          <w:rStyle w:val="CommentReference"/>
        </w:rPr>
        <w:annotationRef/>
      </w:r>
      <w:r>
        <w:t xml:space="preserve">I am happy with this draft paragraph </w:t>
      </w:r>
    </w:p>
  </w:comment>
  <w:comment w:id="4" w:author="Julia Baum" w:date="2017-07-12T10:48:00Z" w:initials="JB">
    <w:p w14:paraId="274F80FD" w14:textId="77777777" w:rsidR="00125AFC" w:rsidRDefault="00125AFC" w:rsidP="00125AFC">
      <w:pPr>
        <w:pStyle w:val="CommentText"/>
      </w:pPr>
      <w:r>
        <w:rPr>
          <w:rStyle w:val="CommentReference"/>
        </w:rPr>
        <w:annotationRef/>
      </w:r>
      <w:r>
        <w:t xml:space="preserve">FIGURE 3.- This paragraph sets up context for, and describing results of, Figure 3 – importance of local protection. </w:t>
      </w:r>
    </w:p>
  </w:comment>
  <w:comment w:id="5" w:author="Danielle Claar" w:date="2017-08-19T12:26:00Z" w:initials="DC">
    <w:p w14:paraId="656A6354" w14:textId="7D0C15C9" w:rsidR="0055115F" w:rsidRDefault="0055115F">
      <w:pPr>
        <w:pStyle w:val="CommentText"/>
      </w:pPr>
      <w:r>
        <w:rPr>
          <w:rStyle w:val="CommentReference"/>
        </w:rPr>
        <w:annotationRef/>
      </w:r>
      <w:r>
        <w:t>I am happy with this draft paragraph</w:t>
      </w:r>
    </w:p>
  </w:comment>
  <w:comment w:id="7" w:author="Danielle Claar" w:date="2017-08-19T11:47:00Z" w:initials="DC">
    <w:p w14:paraId="59B6FB56" w14:textId="5BD4F97E" w:rsidR="0055115F" w:rsidRDefault="0055115F">
      <w:pPr>
        <w:pStyle w:val="CommentText"/>
      </w:pPr>
      <w:r>
        <w:rPr>
          <w:rStyle w:val="CommentReference"/>
        </w:rPr>
        <w:annotationRef/>
      </w:r>
    </w:p>
  </w:comment>
  <w:comment w:id="8" w:author="Danielle Claar" w:date="2017-08-19T11:49:00Z" w:initials="DC">
    <w:p w14:paraId="3FDE4F91" w14:textId="4E9F37B4" w:rsidR="0055115F" w:rsidRDefault="0055115F">
      <w:pPr>
        <w:pStyle w:val="CommentText"/>
      </w:pPr>
      <w:r>
        <w:rPr>
          <w:rStyle w:val="CommentReference"/>
        </w:rPr>
        <w:annotationRef/>
      </w:r>
    </w:p>
  </w:comment>
  <w:comment w:id="6" w:author="Danielle Claar" w:date="2017-08-19T12:27:00Z" w:initials="DC">
    <w:p w14:paraId="7B02A04A" w14:textId="5B7B4165" w:rsidR="0055115F" w:rsidRDefault="0055115F">
      <w:pPr>
        <w:pStyle w:val="CommentText"/>
      </w:pPr>
      <w:r>
        <w:rPr>
          <w:rStyle w:val="CommentReference"/>
        </w:rPr>
        <w:annotationRef/>
      </w:r>
      <w:r>
        <w:t>I think this paragraph starts out ok, but it needs quite a bit of work at the end re: c vs d and our results</w:t>
      </w:r>
    </w:p>
  </w:comment>
  <w:comment w:id="9" w:author="Danielle Claar" w:date="2017-08-19T12:27:00Z" w:initials="DC">
    <w:p w14:paraId="62517D3A" w14:textId="6196D47B" w:rsidR="0055115F" w:rsidRDefault="0055115F">
      <w:pPr>
        <w:pStyle w:val="CommentText"/>
      </w:pPr>
      <w:r>
        <w:rPr>
          <w:rStyle w:val="CommentReference"/>
        </w:rPr>
        <w:annotationRef/>
      </w:r>
      <w:r>
        <w:t>I am happy with this draft paragraph</w:t>
      </w:r>
    </w:p>
  </w:comment>
  <w:comment w:id="10" w:author="Danielle Claar" w:date="2017-08-19T12:29:00Z" w:initials="DC">
    <w:p w14:paraId="6FFC8A6B" w14:textId="18A917B3" w:rsidR="0055115F" w:rsidRDefault="0055115F">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1" w:author="Danielle Claar" w:date="2017-07-30T16:35:00Z" w:initials="DC">
    <w:p w14:paraId="6B62D2D8" w14:textId="13D0DD7D" w:rsidR="0055115F" w:rsidRDefault="0055115F">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2" w:author="Danielle Claar" w:date="2017-10-17T15:32:00Z" w:initials="DC">
    <w:p w14:paraId="261F6E5C" w14:textId="0C5446DA" w:rsidR="0055115F" w:rsidRDefault="0055115F">
      <w:pPr>
        <w:pStyle w:val="CommentText"/>
      </w:pPr>
      <w:r>
        <w:rPr>
          <w:rStyle w:val="CommentReference"/>
        </w:rPr>
        <w:annotationRef/>
      </w:r>
      <w:r>
        <w:t>Add in specifics here…</w:t>
      </w:r>
    </w:p>
  </w:comment>
  <w:comment w:id="13" w:author="Danielle Claar" w:date="2017-10-17T15:32:00Z" w:initials="DC">
    <w:p w14:paraId="2BA1E050" w14:textId="2CDAA1D8" w:rsidR="0055115F" w:rsidRDefault="0055115F">
      <w:pPr>
        <w:pStyle w:val="CommentText"/>
      </w:pPr>
      <w:r>
        <w:rPr>
          <w:rStyle w:val="CommentReference"/>
        </w:rPr>
        <w:annotationRef/>
      </w:r>
      <w:r>
        <w:t>Cite here.</w:t>
      </w:r>
    </w:p>
  </w:comment>
  <w:comment w:id="14" w:author="Danielle Claar" w:date="2017-10-17T15:34:00Z" w:initials="DC">
    <w:p w14:paraId="199F7BE1" w14:textId="166016D8" w:rsidR="0055115F" w:rsidRDefault="0055115F">
      <w:pPr>
        <w:pStyle w:val="CommentText"/>
      </w:pPr>
      <w:r>
        <w:rPr>
          <w:rStyle w:val="CommentReference"/>
        </w:rPr>
        <w:annotationRef/>
      </w:r>
    </w:p>
  </w:comment>
  <w:comment w:id="15" w:author="Danielle Claar" w:date="2017-10-17T15:35:00Z" w:initials="DC">
    <w:p w14:paraId="682A89D0" w14:textId="66654FDF" w:rsidR="0055115F" w:rsidRDefault="0055115F">
      <w:pPr>
        <w:pStyle w:val="CommentText"/>
      </w:pPr>
      <w:r>
        <w:rPr>
          <w:rStyle w:val="CommentReference"/>
        </w:rPr>
        <w:annotationRef/>
      </w:r>
      <w:r>
        <w:t>Summarize SDS/</w:t>
      </w:r>
      <w:proofErr w:type="spellStart"/>
      <w:r>
        <w:t>cholorform</w:t>
      </w:r>
      <w:proofErr w:type="spellEnd"/>
      <w:r>
        <w:t xml:space="preserve"> extraction protocol</w:t>
      </w:r>
    </w:p>
  </w:comment>
  <w:comment w:id="16" w:author="Danielle Claar" w:date="2017-10-17T15:47:00Z" w:initials="DC">
    <w:p w14:paraId="7F8A1CC4" w14:textId="707E8B7A" w:rsidR="0055115F" w:rsidRDefault="0055115F">
      <w:pPr>
        <w:pStyle w:val="CommentText"/>
      </w:pPr>
      <w:r>
        <w:rPr>
          <w:rStyle w:val="CommentReference"/>
        </w:rPr>
        <w:annotationRef/>
      </w:r>
    </w:p>
  </w:comment>
  <w:comment w:id="17" w:author="Danielle Claar" w:date="2017-10-17T15:47:00Z" w:initials="DC">
    <w:p w14:paraId="507442C2" w14:textId="1731F501" w:rsidR="0055115F" w:rsidRDefault="0055115F">
      <w:pPr>
        <w:pStyle w:val="CommentText"/>
      </w:pPr>
      <w:r>
        <w:rPr>
          <w:rStyle w:val="CommentReference"/>
        </w:rPr>
        <w:annotationRef/>
      </w:r>
    </w:p>
  </w:comment>
  <w:comment w:id="18" w:author="Danielle Claar" w:date="2017-10-17T15:47:00Z" w:initials="DC">
    <w:p w14:paraId="6354BF11" w14:textId="4532CE43" w:rsidR="0055115F" w:rsidRDefault="0055115F">
      <w:pPr>
        <w:pStyle w:val="CommentText"/>
      </w:pPr>
      <w:r>
        <w:rPr>
          <w:rStyle w:val="CommentReference"/>
        </w:rPr>
        <w:annotationRef/>
      </w:r>
    </w:p>
  </w:comment>
  <w:comment w:id="19" w:author="Julia Baum" w:date="2017-07-11T15:05:00Z" w:initials="JB">
    <w:p w14:paraId="08A29F99" w14:textId="2D21954C"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5115F" w:rsidRDefault="0055115F">
      <w:pPr>
        <w:pStyle w:val="CommentText"/>
      </w:pPr>
    </w:p>
  </w:comment>
  <w:comment w:id="20" w:author="Julia Baum" w:date="2017-07-12T09:33:00Z" w:initials="JB">
    <w:p w14:paraId="09F5F3E1" w14:textId="146D619A" w:rsidR="0055115F" w:rsidRDefault="0055115F">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5115F" w:rsidRDefault="0055115F">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21" w:author="Julia Baum" w:date="2017-07-11T15:05:00Z" w:initials="JB">
    <w:p w14:paraId="1ED55DD1" w14:textId="77777777"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5115F" w:rsidRPr="009B7A7D"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5115F" w:rsidRPr="009B7A7D" w:rsidRDefault="009A0E5B"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55115F" w:rsidRPr="009B7A7D">
          <w:rPr>
            <w:rFonts w:ascii="Arial" w:eastAsia="Times New Roman" w:hAnsi="Arial" w:cs="Arial"/>
            <w:i/>
            <w:iCs/>
            <w:color w:val="5C7996"/>
            <w:sz w:val="20"/>
            <w:szCs w:val="20"/>
            <w:u w:val="single"/>
            <w:lang w:val="en-CA"/>
          </w:rPr>
          <w:t>Competing financial interests</w:t>
        </w:r>
      </w:hyperlink>
      <w:r w:rsidR="0055115F" w:rsidRPr="009B7A7D">
        <w:rPr>
          <w:rFonts w:ascii="Arial" w:eastAsia="Times New Roman" w:hAnsi="Arial" w:cs="Arial"/>
          <w:color w:val="222222"/>
          <w:sz w:val="20"/>
          <w:szCs w:val="20"/>
          <w:lang w:val="en-CA"/>
        </w:rPr>
        <w:t> statement.</w:t>
      </w:r>
    </w:p>
    <w:p w14:paraId="7CA19306" w14:textId="77777777" w:rsidR="0055115F"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5115F" w:rsidRDefault="0055115F">
      <w:pPr>
        <w:pStyle w:val="CommentText"/>
      </w:pPr>
    </w:p>
  </w:comment>
  <w:comment w:id="22" w:author="Julia Baum" w:date="2017-07-11T14:59:00Z" w:initials="JB">
    <w:p w14:paraId="7BC459F5" w14:textId="77777777" w:rsidR="0055115F" w:rsidRPr="009B7A7D" w:rsidRDefault="0055115F"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5115F" w:rsidRPr="009B7A7D" w:rsidRDefault="0055115F"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5115F" w:rsidRDefault="0055115F" w:rsidP="009B7A7D">
      <w:pPr>
        <w:pStyle w:val="CommentText"/>
      </w:pPr>
    </w:p>
  </w:comment>
  <w:comment w:id="24" w:author="Julia Baum" w:date="2017-07-11T15:23:00Z" w:initials="JB">
    <w:p w14:paraId="0AAEE86F" w14:textId="7C1EAA9D" w:rsidR="0055115F" w:rsidRPr="000B7A24" w:rsidRDefault="0055115F"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25" w:author="Danielle Claar" w:date="2017-08-08T10:42:00Z" w:initials="DC">
    <w:p w14:paraId="6EB855B6" w14:textId="77777777" w:rsidR="0055115F" w:rsidRDefault="0055115F">
      <w:pPr>
        <w:pStyle w:val="CommentText"/>
      </w:pPr>
      <w:r>
        <w:rPr>
          <w:rStyle w:val="CommentReference"/>
        </w:rPr>
        <w:annotationRef/>
      </w:r>
      <w:r>
        <w:t>Add another panel?</w:t>
      </w:r>
    </w:p>
    <w:p w14:paraId="65E35708" w14:textId="77777777" w:rsidR="0055115F" w:rsidRDefault="0055115F">
      <w:pPr>
        <w:pStyle w:val="CommentText"/>
      </w:pPr>
    </w:p>
    <w:p w14:paraId="0BB625B5" w14:textId="77777777" w:rsidR="0055115F" w:rsidRDefault="0055115F"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5115F" w:rsidRPr="001109A4" w:rsidRDefault="0055115F"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41ABB59D" w15:done="0"/>
  <w15:commentEx w15:paraId="7E9A7121" w15:done="0"/>
  <w15:commentEx w15:paraId="274F80FD" w15:done="0"/>
  <w15:commentEx w15:paraId="656A6354" w15:done="0"/>
  <w15:commentEx w15:paraId="59B6FB56" w15:done="0"/>
  <w15:commentEx w15:paraId="3FDE4F91" w15:done="0"/>
  <w15:commentEx w15:paraId="7B02A04A" w15:done="0"/>
  <w15:commentEx w15:paraId="62517D3A" w15:done="0"/>
  <w15:commentEx w15:paraId="6FFC8A6B" w15:done="0"/>
  <w15:commentEx w15:paraId="6B62D2D8" w15:done="0"/>
  <w15:commentEx w15:paraId="261F6E5C" w15:done="0"/>
  <w15:commentEx w15:paraId="2BA1E050" w15:done="0"/>
  <w15:commentEx w15:paraId="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7E9A7121" w16cid:durableId="1D42ACBF"/>
  <w16cid:commentId w16cid:paraId="274F80FD" w16cid:durableId="1D1083FD"/>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6FFC8A6B" w16cid:durableId="1D42ADA0"/>
  <w16cid:commentId w16cid:paraId="6B62D2D8" w16cid:durableId="1D28894B"/>
  <w16cid:commentId w16cid:paraId="261F6E5C" w16cid:durableId="1D90A104"/>
  <w16cid:commentId w16cid:paraId="2BA1E050" w16cid:durableId="1D90A124"/>
  <w16cid:commentId w16cid:paraId="199F7BE1" w16cid:durableId="1D90A1A3"/>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89635" w14:textId="77777777" w:rsidR="009A0E5B" w:rsidRDefault="009A0E5B" w:rsidP="00210D46">
      <w:r>
        <w:separator/>
      </w:r>
    </w:p>
  </w:endnote>
  <w:endnote w:type="continuationSeparator" w:id="0">
    <w:p w14:paraId="017BE965" w14:textId="77777777" w:rsidR="009A0E5B" w:rsidRDefault="009A0E5B"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084EB40E" w:rsidR="0055115F" w:rsidRPr="00210D46" w:rsidRDefault="0055115F">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BE549E">
          <w:rPr>
            <w:rFonts w:ascii="HelveticaNeueLT Std" w:hAnsi="HelveticaNeueLT Std"/>
            <w:noProof/>
            <w:sz w:val="20"/>
            <w:szCs w:val="20"/>
          </w:rPr>
          <w:t>18</w:t>
        </w:r>
        <w:r w:rsidRPr="00210D46">
          <w:rPr>
            <w:rFonts w:ascii="HelveticaNeueLT Std" w:hAnsi="HelveticaNeueLT Std"/>
            <w:noProof/>
            <w:sz w:val="20"/>
            <w:szCs w:val="20"/>
          </w:rPr>
          <w:fldChar w:fldCharType="end"/>
        </w:r>
      </w:p>
    </w:sdtContent>
  </w:sdt>
  <w:p w14:paraId="400608C6" w14:textId="77777777" w:rsidR="0055115F" w:rsidRDefault="00551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AEDFF" w14:textId="77777777" w:rsidR="009A0E5B" w:rsidRDefault="009A0E5B" w:rsidP="00210D46">
      <w:r>
        <w:separator/>
      </w:r>
    </w:p>
  </w:footnote>
  <w:footnote w:type="continuationSeparator" w:id="0">
    <w:p w14:paraId="3BC36F03" w14:textId="77777777" w:rsidR="009A0E5B" w:rsidRDefault="009A0E5B"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4F3B"/>
    <w:rsid w:val="000B7A24"/>
    <w:rsid w:val="000D0A9A"/>
    <w:rsid w:val="000F3013"/>
    <w:rsid w:val="001102CF"/>
    <w:rsid w:val="001109A4"/>
    <w:rsid w:val="00113A12"/>
    <w:rsid w:val="00115B73"/>
    <w:rsid w:val="00122A09"/>
    <w:rsid w:val="00125AFC"/>
    <w:rsid w:val="001421F6"/>
    <w:rsid w:val="00153646"/>
    <w:rsid w:val="0018105D"/>
    <w:rsid w:val="00194FB4"/>
    <w:rsid w:val="001A058E"/>
    <w:rsid w:val="001C11FF"/>
    <w:rsid w:val="001C2457"/>
    <w:rsid w:val="001D3E37"/>
    <w:rsid w:val="002104FF"/>
    <w:rsid w:val="00210D46"/>
    <w:rsid w:val="002414C8"/>
    <w:rsid w:val="002A0DC1"/>
    <w:rsid w:val="002B14EF"/>
    <w:rsid w:val="002B7F10"/>
    <w:rsid w:val="002C26FC"/>
    <w:rsid w:val="002D0D78"/>
    <w:rsid w:val="002D1D06"/>
    <w:rsid w:val="002F0A80"/>
    <w:rsid w:val="00305362"/>
    <w:rsid w:val="003166B8"/>
    <w:rsid w:val="00316B53"/>
    <w:rsid w:val="00317130"/>
    <w:rsid w:val="00321C3A"/>
    <w:rsid w:val="00333B1A"/>
    <w:rsid w:val="00346317"/>
    <w:rsid w:val="00355B02"/>
    <w:rsid w:val="00387A12"/>
    <w:rsid w:val="003D5C1B"/>
    <w:rsid w:val="003F6C43"/>
    <w:rsid w:val="00426C46"/>
    <w:rsid w:val="00444448"/>
    <w:rsid w:val="0045051B"/>
    <w:rsid w:val="00466B61"/>
    <w:rsid w:val="0049591B"/>
    <w:rsid w:val="004A0DCE"/>
    <w:rsid w:val="004A4FC6"/>
    <w:rsid w:val="004B1E34"/>
    <w:rsid w:val="004D76DE"/>
    <w:rsid w:val="004E19AD"/>
    <w:rsid w:val="00504E0C"/>
    <w:rsid w:val="00507D22"/>
    <w:rsid w:val="005363D1"/>
    <w:rsid w:val="00537568"/>
    <w:rsid w:val="005429A4"/>
    <w:rsid w:val="00545C53"/>
    <w:rsid w:val="0055115F"/>
    <w:rsid w:val="005661A2"/>
    <w:rsid w:val="00584862"/>
    <w:rsid w:val="005B7BA5"/>
    <w:rsid w:val="005C49FF"/>
    <w:rsid w:val="005E75BD"/>
    <w:rsid w:val="006414F5"/>
    <w:rsid w:val="0064161C"/>
    <w:rsid w:val="0064287D"/>
    <w:rsid w:val="00666AC7"/>
    <w:rsid w:val="006767A7"/>
    <w:rsid w:val="006A7F3F"/>
    <w:rsid w:val="006B11A2"/>
    <w:rsid w:val="006E7B94"/>
    <w:rsid w:val="006F68ED"/>
    <w:rsid w:val="00750F3A"/>
    <w:rsid w:val="00771592"/>
    <w:rsid w:val="00777444"/>
    <w:rsid w:val="007A60C0"/>
    <w:rsid w:val="007F4155"/>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A0E5B"/>
    <w:rsid w:val="009B7A7D"/>
    <w:rsid w:val="009C56F2"/>
    <w:rsid w:val="009C5F83"/>
    <w:rsid w:val="009D56CD"/>
    <w:rsid w:val="009F300F"/>
    <w:rsid w:val="00A01CA3"/>
    <w:rsid w:val="00A1049C"/>
    <w:rsid w:val="00A24EBD"/>
    <w:rsid w:val="00A558F3"/>
    <w:rsid w:val="00A8692D"/>
    <w:rsid w:val="00A9548D"/>
    <w:rsid w:val="00AA16C0"/>
    <w:rsid w:val="00AC761B"/>
    <w:rsid w:val="00B05B41"/>
    <w:rsid w:val="00B239B1"/>
    <w:rsid w:val="00B31407"/>
    <w:rsid w:val="00B36C82"/>
    <w:rsid w:val="00B37D06"/>
    <w:rsid w:val="00B42190"/>
    <w:rsid w:val="00B6105D"/>
    <w:rsid w:val="00B942AE"/>
    <w:rsid w:val="00BA2449"/>
    <w:rsid w:val="00BB39AD"/>
    <w:rsid w:val="00BE549E"/>
    <w:rsid w:val="00BF42FE"/>
    <w:rsid w:val="00BF4332"/>
    <w:rsid w:val="00C07D23"/>
    <w:rsid w:val="00C51ACB"/>
    <w:rsid w:val="00C57436"/>
    <w:rsid w:val="00C610A1"/>
    <w:rsid w:val="00C62FF3"/>
    <w:rsid w:val="00C75FC0"/>
    <w:rsid w:val="00CB6F9D"/>
    <w:rsid w:val="00CC6E3D"/>
    <w:rsid w:val="00CF0B07"/>
    <w:rsid w:val="00CF6618"/>
    <w:rsid w:val="00D02433"/>
    <w:rsid w:val="00D066B1"/>
    <w:rsid w:val="00D0739C"/>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15EFB"/>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412D6-C46A-4541-AE31-4D43FD66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19607</TotalTime>
  <Pages>18</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8</cp:revision>
  <cp:lastPrinted>2017-07-21T19:33:00Z</cp:lastPrinted>
  <dcterms:created xsi:type="dcterms:W3CDTF">2017-07-11T21:40:00Z</dcterms:created>
  <dcterms:modified xsi:type="dcterms:W3CDTF">2017-10-18T19:54:00Z</dcterms:modified>
</cp:coreProperties>
</file>