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22D27B"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w:t>
      </w:r>
      <w:r w:rsidR="00B42190" w:rsidRPr="00CF6618">
        <w:rPr>
          <w:rFonts w:ascii="Helvetica Neue" w:eastAsia="Times New Roman" w:hAnsi="Helvetica Neue" w:cs="Times New Roman"/>
          <w:color w:val="3E3F3A"/>
          <w:sz w:val="21"/>
          <w:szCs w:val="21"/>
          <w:shd w:val="clear" w:color="auto" w:fill="FFFFFF"/>
          <w:lang w:val="en-CA"/>
        </w:rPr>
        <w:lastRenderedPageBreak/>
        <w:t>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w:t>
      </w:r>
      <w:r w:rsidR="00D64E8C">
        <w:rPr>
          <w:rFonts w:ascii="Helvetica Neue" w:eastAsia="Times New Roman" w:hAnsi="Helvetica Neue" w:cs="Times New Roman"/>
          <w:color w:val="3E3F3A"/>
          <w:sz w:val="21"/>
          <w:szCs w:val="21"/>
          <w:shd w:val="clear" w:color="auto" w:fill="FFFFFF"/>
          <w:lang w:val="en-CA"/>
        </w:rPr>
        <w:t>-</w:t>
      </w:r>
      <w:r w:rsidR="00B42190" w:rsidRPr="00CF6618">
        <w:rPr>
          <w:rFonts w:ascii="Helvetica Neue" w:eastAsia="Times New Roman" w:hAnsi="Helvetica Neue" w:cs="Times New Roman"/>
          <w:color w:val="3E3F3A"/>
          <w:sz w:val="21"/>
          <w:szCs w:val="21"/>
          <w:shd w:val="clear" w:color="auto" w:fill="FFFFFF"/>
          <w:lang w:val="en-CA"/>
        </w:rPr>
        <w:t xml:space="preserve">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r w:rsidR="002A0DC1" w:rsidRPr="002A0DC1">
        <w:rPr>
          <w:rFonts w:ascii="Helvetica Neue" w:eastAsia="Times New Roman" w:hAnsi="Helvetica Neue" w:cs="Times New Roman"/>
          <w:color w:val="3E3F3A"/>
          <w:sz w:val="21"/>
          <w:szCs w:val="21"/>
          <w:shd w:val="clear" w:color="auto" w:fill="FFFFFF"/>
          <w:lang w:val="en-CA"/>
        </w:rPr>
        <w:t>Merulinidae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i/>
          <w:color w:val="3E3F3A"/>
          <w:sz w:val="21"/>
          <w:szCs w:val="21"/>
          <w:shd w:val="clear" w:color="auto" w:fill="FFFFFF"/>
          <w:lang w:val="en-CA"/>
        </w:rPr>
        <w:t>Platygyra</w:t>
      </w:r>
      <w:r>
        <w:rPr>
          <w:rFonts w:ascii="Helvetica Neue" w:eastAsia="Times New Roman" w:hAnsi="Helvetica Neue" w:cs="Times New Roman"/>
          <w:color w:val="3E3F3A"/>
          <w:sz w:val="21"/>
          <w:szCs w:val="21"/>
          <w:shd w:val="clear" w:color="auto" w:fill="FFFFFF"/>
          <w:lang w:val="en-CA"/>
        </w:rPr>
        <w:t xml:space="preserve"> sp. and </w:t>
      </w:r>
      <w:r w:rsidRPr="0045051B">
        <w:rPr>
          <w:rFonts w:ascii="Helvetica Neue" w:eastAsia="Times New Roman" w:hAnsi="Helvetica Neue" w:cs="Times New Roman"/>
          <w:i/>
          <w:color w:val="3E3F3A"/>
          <w:sz w:val="21"/>
          <w:szCs w:val="21"/>
          <w:shd w:val="clear" w:color="auto" w:fill="FFFFFF"/>
          <w:lang w:val="en-CA"/>
        </w:rPr>
        <w:t>Favites</w:t>
      </w:r>
      <w:r w:rsidR="002A0DC1">
        <w:rPr>
          <w:rFonts w:ascii="Helvetica Neue" w:eastAsia="Times New Roman" w:hAnsi="Helvetica Neue" w:cs="Times New Roman"/>
          <w:color w:val="3E3F3A"/>
          <w:sz w:val="21"/>
          <w:szCs w:val="21"/>
          <w:shd w:val="clear" w:color="auto" w:fill="FFFFFF"/>
          <w:lang w:val="en-CA"/>
        </w:rPr>
        <w:t xml:space="preserve"> </w:t>
      </w:r>
      <w:r w:rsidR="002A0DC1" w:rsidRPr="002A0DC1">
        <w:rPr>
          <w:rFonts w:ascii="Helvetica Neue" w:eastAsia="Times New Roman" w:hAnsi="Helvetica Neue" w:cs="Times New Roman"/>
          <w:i/>
          <w:color w:val="3E3F3A"/>
          <w:sz w:val="21"/>
          <w:szCs w:val="21"/>
          <w:shd w:val="clear" w:color="auto" w:fill="FFFFFF"/>
          <w:lang w:val="en-CA"/>
        </w:rPr>
        <w:t>pentagona</w:t>
      </w:r>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xml:space="preserve">, and </w:t>
      </w:r>
      <w:r w:rsidR="00B05B41">
        <w:rPr>
          <w:rFonts w:ascii="Helvetica Neue" w:eastAsia="Times New Roman" w:hAnsi="Helvetica Neue" w:cs="Times New Roman"/>
          <w:color w:val="3E3F3A"/>
          <w:sz w:val="21"/>
          <w:szCs w:val="21"/>
          <w:shd w:val="clear" w:color="auto" w:fill="FFFFFF"/>
          <w:lang w:val="en-CA"/>
        </w:rPr>
        <w:lastRenderedPageBreak/>
        <w:t>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w:t>
      </w:r>
      <w:r w:rsidRPr="00046BBA">
        <w:rPr>
          <w:rFonts w:ascii="Helvetica Neue" w:eastAsia="Times New Roman" w:hAnsi="Helvetica Neue" w:cs="Times New Roman"/>
          <w:color w:val="3E3F3A"/>
          <w:sz w:val="21"/>
          <w:szCs w:val="21"/>
          <w:shd w:val="clear" w:color="auto" w:fill="FFFFFF"/>
          <w:lang w:val="en-CA"/>
        </w:rPr>
        <w:lastRenderedPageBreak/>
        <w:t>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3"/>
      <w:r w:rsidRPr="00194FB4">
        <w:rPr>
          <w:rFonts w:ascii="Helvetica Neue" w:eastAsia="Times New Roman" w:hAnsi="Helvetica Neue" w:cs="Times New Roman"/>
          <w:color w:val="3E3F3A"/>
          <w:sz w:val="32"/>
          <w:szCs w:val="32"/>
          <w:shd w:val="clear" w:color="auto" w:fill="FFFFFF"/>
          <w:lang w:val="en-CA"/>
        </w:rPr>
        <w:t>Methods</w:t>
      </w:r>
      <w:commentRangeEnd w:id="3"/>
      <w:r w:rsidRPr="00194FB4">
        <w:rPr>
          <w:rStyle w:val="CommentReference"/>
          <w:sz w:val="32"/>
          <w:szCs w:val="32"/>
        </w:rPr>
        <w:commentReference w:id="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2C61B61"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Temperature measurements were sub-sampled to a consistent </w:t>
      </w:r>
      <w:proofErr w:type="gramStart"/>
      <w:r w:rsidR="00EB0019">
        <w:rPr>
          <w:rFonts w:ascii="Helvetica Neue" w:eastAsia="Times New Roman" w:hAnsi="Helvetica Neue" w:cs="Times New Roman"/>
          <w:color w:val="3E3F3A"/>
          <w:sz w:val="21"/>
          <w:szCs w:val="21"/>
          <w:shd w:val="clear" w:color="auto" w:fill="FFFFFF"/>
          <w:lang w:val="en-CA"/>
        </w:rPr>
        <w:t>1 hour</w:t>
      </w:r>
      <w:proofErr w:type="gramEnd"/>
      <w:r w:rsidR="00EB0019">
        <w:rPr>
          <w:rFonts w:ascii="Helvetica Neue" w:eastAsia="Times New Roman" w:hAnsi="Helvetica Neue" w:cs="Times New Roman"/>
          <w:color w:val="3E3F3A"/>
          <w:sz w:val="21"/>
          <w:szCs w:val="21"/>
          <w:shd w:val="clear" w:color="auto" w:fill="FFFFFF"/>
          <w:lang w:val="en-CA"/>
        </w:rPr>
        <w:t xml:space="preserve">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For degree heating week </w:t>
      </w:r>
      <w:r w:rsidR="00EB0019">
        <w:rPr>
          <w:rFonts w:ascii="Helvetica Neue" w:eastAsia="Times New Roman" w:hAnsi="Helvetica Neue" w:cs="Times New Roman"/>
          <w:color w:val="3E3F3A"/>
          <w:sz w:val="21"/>
          <w:szCs w:val="21"/>
          <w:shd w:val="clear" w:color="auto" w:fill="FFFFFF"/>
          <w:lang w:val="en-CA"/>
        </w:rPr>
        <w:lastRenderedPageBreak/>
        <w:t>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are discarded). DHW is calculated as a rolling sum over 12 weeks, with each of the 24 half-week cumulative hotspot measurements divided by 2. As temperature profiles are similar among sites, and not all sites had temperature data for the </w:t>
      </w:r>
      <w:proofErr w:type="gramStart"/>
      <w:r w:rsidR="00EB0019">
        <w:rPr>
          <w:rFonts w:ascii="Helvetica Neue" w:eastAsia="Times New Roman" w:hAnsi="Helvetica Neue" w:cs="Times New Roman"/>
          <w:color w:val="3E3F3A"/>
          <w:sz w:val="21"/>
          <w:szCs w:val="21"/>
          <w:shd w:val="clear" w:color="auto" w:fill="FFFFFF"/>
          <w:lang w:val="en-CA"/>
        </w:rPr>
        <w:t>full time</w:t>
      </w:r>
      <w:proofErr w:type="gramEnd"/>
      <w:r w:rsidR="00EB0019">
        <w:rPr>
          <w:rFonts w:ascii="Helvetica Neue" w:eastAsia="Times New Roman" w:hAnsi="Helvetica Neue" w:cs="Times New Roman"/>
          <w:color w:val="3E3F3A"/>
          <w:sz w:val="21"/>
          <w:szCs w:val="21"/>
          <w:shd w:val="clear" w:color="auto" w:fill="FFFFFF"/>
          <w:lang w:val="en-CA"/>
        </w:rPr>
        <w:t xml:space="preserv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36C4FD5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and </w:t>
      </w:r>
      <w:r w:rsidRPr="00E90654">
        <w:rPr>
          <w:rFonts w:ascii="Helvetica Neue" w:eastAsia="Times New Roman" w:hAnsi="Helvetica Neue" w:cs="Times New Roman"/>
          <w:i/>
          <w:color w:val="3E3F3A"/>
          <w:sz w:val="21"/>
          <w:szCs w:val="21"/>
          <w:shd w:val="clear" w:color="auto" w:fill="FFFFFF"/>
          <w:lang w:val="en-CA"/>
        </w:rPr>
        <w:t>Favites pentagona</w:t>
      </w:r>
      <w:r w:rsidRPr="002F0A80">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(n = </w:t>
      </w:r>
      <w:r w:rsidR="00333B1A">
        <w:rPr>
          <w:rFonts w:ascii="Helvetica Neue" w:eastAsia="Times New Roman" w:hAnsi="Helvetica Neue" w:cs="Times New Roman"/>
          <w:color w:val="3E3F3A"/>
          <w:sz w:val="21"/>
          <w:szCs w:val="21"/>
          <w:shd w:val="clear" w:color="auto" w:fill="FFFFFF"/>
          <w:lang w:val="en-CA"/>
        </w:rPr>
        <w:t>59</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Sample processing and sequencing</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0A0C26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624FF27D" w14:textId="32F3FB19"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084F168"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r w:rsidR="00316B53">
        <w:rPr>
          <w:rFonts w:ascii="Helvetica Neue" w:eastAsia="Times New Roman" w:hAnsi="Helvetica Neue" w:cs="Times New Roman"/>
          <w:color w:val="3E3F3A"/>
          <w:sz w:val="21"/>
          <w:szCs w:val="21"/>
          <w:shd w:val="clear" w:color="auto" w:fill="FFFFFF"/>
          <w:lang w:val="en-CA"/>
        </w:rPr>
        <w:lastRenderedPageBreak/>
        <w:t>(</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645CFAF9"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w:t>
      </w:r>
      <w:r w:rsidRPr="002F0A80">
        <w:rPr>
          <w:rFonts w:ascii="Helvetica Neue" w:eastAsia="Times New Roman" w:hAnsi="Helvetica Neue" w:cs="Times New Roman"/>
          <w:color w:val="3E3F3A"/>
          <w:sz w:val="21"/>
          <w:szCs w:val="21"/>
          <w:shd w:val="clear" w:color="auto" w:fill="FFFFFF"/>
          <w:lang w:val="en-CA"/>
        </w:rPr>
        <w:lastRenderedPageBreak/>
        <w:t xml:space="preserve">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3E6774A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bookmarkStart w:id="4" w:name="_GoBack"/>
      <w:bookmarkEnd w:id="4"/>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1A5E56F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C75FC0">
        <w:rPr>
          <w:rFonts w:ascii="Helvetica Neue" w:eastAsia="Times New Roman" w:hAnsi="Helvetica Neue" w:cs="Times New Roman"/>
          <w:color w:val="3E3F3A"/>
          <w:sz w:val="21"/>
          <w:szCs w:val="21"/>
          <w:shd w:val="clear" w:color="auto" w:fill="FFFFFF"/>
          <w:lang w:val="en-CA"/>
        </w:rPr>
        <w:t xml:space="preserve">Code </w:t>
      </w:r>
      <w:r w:rsidR="00C75FC0">
        <w:rPr>
          <w:rFonts w:ascii="Helvetica Neue" w:eastAsia="Times New Roman" w:hAnsi="Helvetica Neue" w:cs="Times New Roman"/>
          <w:color w:val="3E3F3A"/>
          <w:sz w:val="21"/>
          <w:szCs w:val="21"/>
          <w:shd w:val="clear" w:color="auto" w:fill="FFFFFF"/>
          <w:lang w:val="en-CA"/>
        </w:rPr>
        <w:t xml:space="preserve">for all analyses is </w:t>
      </w:r>
      <w:r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6BD88C97"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 and new corals were sampled when previous corals died.  </w:t>
      </w:r>
      <w:r>
        <w:rPr>
          <w:rFonts w:ascii="Helvetica Neue" w:eastAsia="Times New Roman" w:hAnsi="Helvetica Neue" w:cs="Times New Roman"/>
          <w:color w:val="3E3F3A"/>
          <w:sz w:val="21"/>
          <w:szCs w:val="21"/>
          <w:shd w:val="clear" w:color="auto" w:fill="FFFFFF"/>
          <w:lang w:val="en-CA"/>
        </w:rPr>
        <w:lastRenderedPageBreak/>
        <w:t xml:space="preserve">Thus,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2B824A11" w14:textId="24ADB06C" w:rsidR="009F300F" w:rsidRPr="009F300F" w:rsidRDefault="009F300F" w:rsidP="002F0A80">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66ADCC5B" w14:textId="73914F5E" w:rsidR="009F300F" w:rsidRDefault="009F300F" w:rsidP="0000486F">
      <w:pPr>
        <w:spacing w:line="480" w:lineRule="auto"/>
        <w:rPr>
          <w:rFonts w:ascii="Helvetica Neue" w:eastAsia="Times New Roman" w:hAnsi="Helvetica Neue" w:cs="Times New Roman"/>
          <w:color w:val="3E3F3A"/>
          <w:sz w:val="21"/>
          <w:szCs w:val="21"/>
          <w:highlight w:val="yellow"/>
          <w:shd w:val="clear" w:color="auto" w:fill="FFFFFF"/>
          <w:lang w:val="en-CA"/>
        </w:rPr>
      </w:pPr>
    </w:p>
    <w:p w14:paraId="2D4865FC" w14:textId="70760A16" w:rsidR="0000486F" w:rsidRPr="009C56F2" w:rsidRDefault="0000486F" w:rsidP="0000486F">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 xml:space="preserve">Indicator </w:t>
      </w:r>
      <w:r w:rsidR="0018105D" w:rsidRPr="009C56F2">
        <w:rPr>
          <w:rFonts w:ascii="Helvetica Neue" w:eastAsia="Times New Roman" w:hAnsi="Helvetica Neue" w:cs="Times New Roman"/>
          <w:i/>
          <w:color w:val="3E3F3A"/>
          <w:sz w:val="21"/>
          <w:szCs w:val="21"/>
          <w:shd w:val="clear" w:color="auto" w:fill="FFFFFF"/>
          <w:lang w:val="en-CA"/>
        </w:rPr>
        <w:t>Taxa Analysis</w:t>
      </w:r>
    </w:p>
    <w:p w14:paraId="0B4DF6FF" w14:textId="2D522B23" w:rsidR="00B6105D" w:rsidRPr="009C56F2" w:rsidRDefault="0018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To test if any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taxa were associated with host coral survival</w:t>
      </w:r>
      <w:r w:rsidR="00BA2449">
        <w:rPr>
          <w:rFonts w:ascii="Helvetica Neue" w:eastAsia="Times New Roman" w:hAnsi="Helvetica Neue" w:cs="Times New Roman"/>
          <w:color w:val="3E3F3A"/>
          <w:sz w:val="21"/>
          <w:szCs w:val="21"/>
          <w:shd w:val="clear" w:color="auto" w:fill="FFFFFF"/>
          <w:lang w:val="en-CA"/>
        </w:rPr>
        <w:t xml:space="preserve"> after 10 months of heat stress</w:t>
      </w:r>
      <w:r>
        <w:rPr>
          <w:rFonts w:ascii="Helvetica Neue" w:eastAsia="Times New Roman" w:hAnsi="Helvetica Neue" w:cs="Times New Roman"/>
          <w:color w:val="3E3F3A"/>
          <w:sz w:val="21"/>
          <w:szCs w:val="21"/>
          <w:shd w:val="clear" w:color="auto" w:fill="FFFFFF"/>
          <w:lang w:val="en-CA"/>
        </w:rPr>
        <w:t>, we conducted an indicator species analysis (</w:t>
      </w:r>
      <w:proofErr w:type="spellStart"/>
      <w:r>
        <w:rPr>
          <w:rFonts w:ascii="Helvetica Neue" w:eastAsia="Times New Roman" w:hAnsi="Helvetica Neue" w:cs="Times New Roman"/>
          <w:color w:val="3E3F3A"/>
          <w:sz w:val="21"/>
          <w:szCs w:val="21"/>
          <w:shd w:val="clear" w:color="auto" w:fill="FFFFFF"/>
          <w:lang w:val="en-CA"/>
        </w:rPr>
        <w:t>multipatt</w:t>
      </w:r>
      <w:proofErr w:type="spellEnd"/>
      <w:r>
        <w:rPr>
          <w:rFonts w:ascii="Helvetica Neue" w:eastAsia="Times New Roman" w:hAnsi="Helvetica Neue" w:cs="Times New Roman"/>
          <w:color w:val="3E3F3A"/>
          <w:sz w:val="21"/>
          <w:szCs w:val="21"/>
          <w:shd w:val="clear" w:color="auto" w:fill="FFFFFF"/>
          <w:lang w:val="en-CA"/>
        </w:rPr>
        <w:t xml:space="preserve">, R package </w:t>
      </w:r>
      <w:proofErr w:type="spellStart"/>
      <w:r>
        <w:rPr>
          <w:rFonts w:ascii="Helvetica Neue" w:eastAsia="Times New Roman" w:hAnsi="Helvetica Neue" w:cs="Times New Roman"/>
          <w:color w:val="3E3F3A"/>
          <w:sz w:val="21"/>
          <w:szCs w:val="21"/>
          <w:shd w:val="clear" w:color="auto" w:fill="FFFFFF"/>
          <w:lang w:val="en-CA"/>
        </w:rPr>
        <w:t>indicspecies</w:t>
      </w:r>
      <w:proofErr w:type="spellEnd"/>
      <w:r>
        <w:rPr>
          <w:rFonts w:ascii="Helvetica Neue" w:eastAsia="Times New Roman" w:hAnsi="Helvetica Neue" w:cs="Times New Roman"/>
          <w:color w:val="3E3F3A"/>
          <w:sz w:val="21"/>
          <w:szCs w:val="21"/>
          <w:shd w:val="clear" w:color="auto" w:fill="FFFFFF"/>
          <w:lang w:val="en-CA"/>
        </w:rPr>
        <w:t xml:space="preserve">, </w:t>
      </w:r>
      <w:r w:rsidR="00BA2449">
        <w:rPr>
          <w:rFonts w:ascii="Helvetica Neue" w:eastAsia="Times New Roman" w:hAnsi="Helvetica Neue" w:cs="Times New Roman"/>
          <w:color w:val="3E3F3A"/>
          <w:sz w:val="21"/>
          <w:szCs w:val="21"/>
          <w:shd w:val="clear" w:color="auto" w:fill="FFFFFF"/>
          <w:lang w:val="en-CA"/>
        </w:rPr>
        <w:t xml:space="preserve">Caceres &amp; </w:t>
      </w:r>
      <w:r w:rsidRPr="0018105D">
        <w:rPr>
          <w:rFonts w:ascii="Helvetica Neue" w:eastAsia="Times New Roman" w:hAnsi="Helvetica Neue" w:cs="Times New Roman"/>
          <w:color w:val="3E3F3A"/>
          <w:sz w:val="21"/>
          <w:szCs w:val="21"/>
          <w:shd w:val="clear" w:color="auto" w:fill="FFFFFF"/>
          <w:lang w:val="en-CA"/>
        </w:rPr>
        <w:t>Legendre</w:t>
      </w:r>
      <w:r w:rsidR="00BA2449">
        <w:rPr>
          <w:rFonts w:ascii="Helvetica Neue" w:eastAsia="Times New Roman" w:hAnsi="Helvetica Neue" w:cs="Times New Roman"/>
          <w:color w:val="3E3F3A"/>
          <w:sz w:val="21"/>
          <w:szCs w:val="21"/>
          <w:shd w:val="clear" w:color="auto" w:fill="FFFFFF"/>
          <w:lang w:val="en-CA"/>
        </w:rPr>
        <w:t xml:space="preserve"> </w:t>
      </w:r>
      <w:r w:rsidRPr="0018105D">
        <w:rPr>
          <w:rFonts w:ascii="Helvetica Neue" w:eastAsia="Times New Roman" w:hAnsi="Helvetica Neue" w:cs="Times New Roman"/>
          <w:color w:val="3E3F3A"/>
          <w:sz w:val="21"/>
          <w:szCs w:val="21"/>
          <w:shd w:val="clear" w:color="auto" w:fill="FFFFFF"/>
          <w:lang w:val="en-CA"/>
        </w:rPr>
        <w:t>2009</w:t>
      </w:r>
      <w:r w:rsidR="00C75FC0">
        <w:rPr>
          <w:rFonts w:ascii="Helvetica Neue" w:eastAsia="Times New Roman" w:hAnsi="Helvetica Neue" w:cs="Times New Roman"/>
          <w:color w:val="3E3F3A"/>
          <w:sz w:val="21"/>
          <w:szCs w:val="21"/>
          <w:shd w:val="clear" w:color="auto" w:fill="FFFFFF"/>
          <w:lang w:val="en-CA"/>
        </w:rPr>
        <w:t xml:space="preserve">, </w:t>
      </w:r>
      <w:r w:rsidR="00C75FC0" w:rsidRPr="00C75FC0">
        <w:rPr>
          <w:rFonts w:ascii="Helvetica Neue" w:eastAsia="Times New Roman" w:hAnsi="Helvetica Neue" w:cs="Times New Roman"/>
          <w:color w:val="3E3F3A"/>
          <w:sz w:val="21"/>
          <w:szCs w:val="21"/>
          <w:shd w:val="clear" w:color="auto" w:fill="FFFFFF"/>
          <w:lang w:val="en-CA"/>
        </w:rPr>
        <w:t xml:space="preserve">(De </w:t>
      </w:r>
      <w:proofErr w:type="spellStart"/>
      <w:r w:rsidR="00C75FC0" w:rsidRPr="00C75FC0">
        <w:rPr>
          <w:rFonts w:ascii="Helvetica Neue" w:eastAsia="Times New Roman" w:hAnsi="Helvetica Neue" w:cs="Times New Roman"/>
          <w:color w:val="3E3F3A"/>
          <w:sz w:val="21"/>
          <w:szCs w:val="21"/>
          <w:shd w:val="clear" w:color="auto" w:fill="FFFFFF"/>
          <w:lang w:val="en-CA"/>
        </w:rPr>
        <w:t>Cáceres</w:t>
      </w:r>
      <w:proofErr w:type="spellEnd"/>
      <w:r w:rsidR="00C75FC0" w:rsidRPr="00C75FC0">
        <w:rPr>
          <w:rFonts w:ascii="Helvetica Neue" w:eastAsia="Times New Roman" w:hAnsi="Helvetica Neue" w:cs="Times New Roman"/>
          <w:color w:val="3E3F3A"/>
          <w:sz w:val="21"/>
          <w:szCs w:val="21"/>
          <w:shd w:val="clear" w:color="auto" w:fill="FFFFFF"/>
          <w:lang w:val="en-CA"/>
        </w:rPr>
        <w:t xml:space="preserve"> et al. 2010</w:t>
      </w:r>
      <w:r w:rsidRPr="0018105D">
        <w:rPr>
          <w:rFonts w:ascii="Helvetica Neue" w:eastAsia="Times New Roman" w:hAnsi="Helvetica Neue" w:cs="Times New Roman"/>
          <w:color w:val="3E3F3A"/>
          <w:sz w:val="21"/>
          <w:szCs w:val="21"/>
          <w:shd w:val="clear" w:color="auto" w:fill="FFFFFF"/>
          <w:lang w:val="en-CA"/>
        </w:rPr>
        <w:t>)</w:t>
      </w:r>
      <w:r w:rsidR="00BA2449">
        <w:rPr>
          <w:rFonts w:ascii="Helvetica Neue" w:eastAsia="Times New Roman" w:hAnsi="Helvetica Neue" w:cs="Times New Roman"/>
          <w:color w:val="3E3F3A"/>
          <w:sz w:val="21"/>
          <w:szCs w:val="21"/>
          <w:shd w:val="clear" w:color="auto" w:fill="FFFFFF"/>
          <w:lang w:val="en-CA"/>
        </w:rPr>
        <w:t xml:space="preserve">. </w:t>
      </w: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5"/>
      <w:r w:rsidRPr="009B7A7D">
        <w:rPr>
          <w:rFonts w:ascii="Arial" w:hAnsi="Arial" w:cs="Arial"/>
          <w:b/>
          <w:bCs/>
          <w:color w:val="222222"/>
          <w:sz w:val="20"/>
          <w:szCs w:val="20"/>
          <w:lang w:val="en-CA"/>
        </w:rPr>
        <w:lastRenderedPageBreak/>
        <w:t>Acknowledgements</w:t>
      </w:r>
      <w:commentRangeEnd w:id="5"/>
      <w:r w:rsidR="001D3E37">
        <w:rPr>
          <w:rStyle w:val="CommentReference"/>
        </w:rPr>
        <w:commentReference w:id="5"/>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6"/>
      <w:r w:rsidRPr="009B7A7D">
        <w:rPr>
          <w:rFonts w:ascii="Arial" w:hAnsi="Arial" w:cs="Arial"/>
          <w:b/>
          <w:bCs/>
          <w:color w:val="222222"/>
          <w:sz w:val="20"/>
          <w:szCs w:val="20"/>
          <w:lang w:val="en-CA"/>
        </w:rPr>
        <w:t>Author</w:t>
      </w:r>
      <w:commentRangeEnd w:id="6"/>
      <w:r w:rsidR="001D3E37">
        <w:rPr>
          <w:rStyle w:val="CommentReference"/>
        </w:rPr>
        <w:commentReference w:id="6"/>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7"/>
      <w:r w:rsidRPr="009B7A7D">
        <w:rPr>
          <w:rFonts w:ascii="Arial" w:hAnsi="Arial" w:cs="Arial"/>
          <w:b/>
          <w:bCs/>
          <w:color w:val="222222"/>
          <w:sz w:val="20"/>
          <w:szCs w:val="20"/>
          <w:lang w:val="en-CA"/>
        </w:rPr>
        <w:t>Author</w:t>
      </w:r>
      <w:commentRangeEnd w:id="7"/>
      <w:r w:rsidR="001D3E37">
        <w:rPr>
          <w:rStyle w:val="CommentReference"/>
        </w:rPr>
        <w:commentReference w:id="7"/>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8"/>
      <w:r w:rsidRPr="00A1049C">
        <w:rPr>
          <w:rFonts w:ascii="Helvetica Neue" w:eastAsia="Times New Roman" w:hAnsi="Helvetica Neue" w:cs="Times New Roman"/>
          <w:b/>
          <w:color w:val="3E3F3A"/>
          <w:sz w:val="21"/>
          <w:szCs w:val="21"/>
          <w:shd w:val="clear" w:color="auto" w:fill="FFFFFF"/>
          <w:lang w:val="en-CA"/>
        </w:rPr>
        <w:t>Figure</w:t>
      </w:r>
      <w:commentRangeEnd w:id="8"/>
      <w:r>
        <w:rPr>
          <w:rStyle w:val="CommentReference"/>
        </w:rPr>
        <w:commentReference w:id="8"/>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9"/>
      <w:r w:rsidRPr="000B7A24">
        <w:rPr>
          <w:rFonts w:ascii="Helvetica Neue" w:eastAsia="Times New Roman" w:hAnsi="Helvetica Neue" w:cs="Times New Roman"/>
          <w:b/>
          <w:color w:val="3E3F3A"/>
          <w:sz w:val="21"/>
          <w:szCs w:val="21"/>
          <w:shd w:val="clear" w:color="auto" w:fill="FFFFFF"/>
          <w:lang w:val="en-CA"/>
        </w:rPr>
        <w:t>Figure</w:t>
      </w:r>
      <w:commentRangeEnd w:id="9"/>
      <w:r w:rsidR="000B7A24">
        <w:rPr>
          <w:rStyle w:val="CommentReference"/>
        </w:rPr>
        <w:commentReference w:id="9"/>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42C9C891" w:rsidR="001109A4" w:rsidRDefault="00B6105D" w:rsidP="00B6105D">
      <w:pPr>
        <w:spacing w:after="150"/>
        <w:rPr>
          <w:rFonts w:ascii="Helvetica Neue" w:hAnsi="Helvetica Neue" w:cs="Times New Roman"/>
          <w:color w:val="3E3F3A"/>
          <w:sz w:val="21"/>
          <w:szCs w:val="21"/>
          <w:lang w:val="en-CA"/>
        </w:rPr>
      </w:pPr>
      <w:commentRangeStart w:id="10"/>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10"/>
      <w:r w:rsidR="001109A4">
        <w:rPr>
          <w:rStyle w:val="CommentReference"/>
        </w:rPr>
        <w:commentReference w:id="10"/>
      </w:r>
      <w:r w:rsidR="001109A4">
        <w:rPr>
          <w:rFonts w:ascii="Helvetica Neue" w:hAnsi="Helvetica Neue" w:cs="Times New Roman"/>
          <w:color w:val="3E3F3A"/>
          <w:sz w:val="21"/>
          <w:szCs w:val="21"/>
          <w:lang w:val="en-CA"/>
        </w:rPr>
        <w:t xml:space="preserve"> Values on x- and y- axes 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7F5BE323"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i/>
          <w:color w:val="3E3F3A"/>
          <w:sz w:val="21"/>
          <w:szCs w:val="21"/>
          <w:shd w:val="clear" w:color="auto" w:fill="FFFFFF"/>
          <w:lang w:val="en-CA"/>
        </w:rPr>
        <w:t xml:space="preserve">Favites </w:t>
      </w:r>
      <w:r w:rsidR="006414F5"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iii-iv</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i/>
          <w:color w:val="3E3F3A"/>
          <w:sz w:val="21"/>
          <w:szCs w:val="21"/>
          <w:shd w:val="clear" w:color="auto" w:fill="FFFFFF"/>
          <w:lang w:val="en-CA"/>
        </w:rPr>
        <w:t>Platygyra</w:t>
      </w:r>
      <w:r w:rsidR="00D02433">
        <w:rPr>
          <w:rFonts w:ascii="Helvetica Neue" w:eastAsia="Times New Roman" w:hAnsi="Helvetica Neue" w:cs="Times New Roman"/>
          <w:color w:val="3E3F3A"/>
          <w:sz w:val="21"/>
          <w:szCs w:val="21"/>
          <w:shd w:val="clear" w:color="auto" w:fill="FFFFFF"/>
          <w:lang w:val="en-CA"/>
        </w:rPr>
        <w:t xml:space="preserve"> sp.</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v-vi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 xml:space="preserve">) and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demonstrating the visual recovery of several coral species before the conclusion of the heat stress event</w:t>
      </w:r>
      <w:r w:rsidR="00D02433">
        <w:rPr>
          <w:rFonts w:ascii="Helvetica Neue" w:eastAsia="Times New Roman" w:hAnsi="Helvetica Neue" w:cs="Times New Roman"/>
          <w:color w:val="3E3F3A"/>
          <w:sz w:val="21"/>
          <w:szCs w:val="21"/>
          <w:shd w:val="clear" w:color="auto" w:fill="FFFFFF"/>
          <w:lang w:val="en-CA"/>
        </w:rPr>
        <w:t>.</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6CDA87DC"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9C5F83" w:rsidRPr="00122A09" w:rsidRDefault="009C5F83"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9C5F83" w:rsidRPr="00122A09" w:rsidRDefault="009C5F83"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9C5F83" w:rsidRDefault="009C5F83">
      <w:pPr>
        <w:pStyle w:val="CommentText"/>
      </w:pPr>
    </w:p>
  </w:comment>
  <w:comment w:id="1" w:author="Julia Baum" w:date="2017-07-12T10:48:00Z" w:initials="JB">
    <w:p w14:paraId="291FAB9F" w14:textId="32FBE441" w:rsidR="009C5F83" w:rsidRDefault="009C5F83">
      <w:pPr>
        <w:pStyle w:val="CommentText"/>
      </w:pPr>
      <w:r>
        <w:rPr>
          <w:rStyle w:val="CommentReference"/>
        </w:rPr>
        <w:annotationRef/>
      </w:r>
      <w:r>
        <w:t xml:space="preserve">FIGURE 3.- This paragraph sets up context for, and describing results of, Figure 3 – importance of local protection. </w:t>
      </w:r>
    </w:p>
  </w:comment>
  <w:comment w:id="2" w:author="Julia Baum" w:date="2017-07-12T10:39:00Z" w:initials="JB">
    <w:p w14:paraId="27BB7768" w14:textId="0E1871C8" w:rsidR="009C5F83" w:rsidRDefault="009C5F83">
      <w:pPr>
        <w:pStyle w:val="CommentText"/>
      </w:pPr>
      <w:r>
        <w:rPr>
          <w:rStyle w:val="CommentReference"/>
        </w:rPr>
        <w:annotationRef/>
      </w:r>
      <w:r>
        <w:t xml:space="preserve">Is C.C. superimposed on local stressors or are local stressors superimposed on C.C.? </w:t>
      </w:r>
    </w:p>
  </w:comment>
  <w:comment w:id="3" w:author="Danielle Claar" w:date="2017-07-30T16:35:00Z" w:initials="DC">
    <w:p w14:paraId="6B62D2D8" w14:textId="13D0DD7D" w:rsidR="009C5F83" w:rsidRDefault="009C5F83">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5" w:author="Julia Baum" w:date="2017-07-11T15:05:00Z" w:initials="JB">
    <w:p w14:paraId="08A29F99" w14:textId="2D21954C" w:rsidR="009C5F83" w:rsidRPr="009B7A7D" w:rsidRDefault="009C5F8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9C5F83" w:rsidRDefault="009C5F83">
      <w:pPr>
        <w:pStyle w:val="CommentText"/>
      </w:pPr>
    </w:p>
  </w:comment>
  <w:comment w:id="6" w:author="Julia Baum" w:date="2017-07-12T09:33:00Z" w:initials="JB">
    <w:p w14:paraId="09F5F3E1" w14:textId="146D619A" w:rsidR="009C5F83" w:rsidRDefault="009C5F83">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9C5F83" w:rsidRDefault="009C5F83">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7" w:author="Julia Baum" w:date="2017-07-11T15:05:00Z" w:initials="JB">
    <w:p w14:paraId="1ED55DD1" w14:textId="77777777" w:rsidR="009C5F83" w:rsidRPr="009B7A7D" w:rsidRDefault="009C5F8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9C5F83" w:rsidRPr="009B7A7D"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9C5F83" w:rsidRPr="009B7A7D"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9C5F83"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9C5F83" w:rsidRDefault="009C5F83">
      <w:pPr>
        <w:pStyle w:val="CommentText"/>
      </w:pPr>
    </w:p>
  </w:comment>
  <w:comment w:id="8" w:author="Julia Baum" w:date="2017-07-11T14:59:00Z" w:initials="JB">
    <w:p w14:paraId="7BC459F5" w14:textId="77777777" w:rsidR="009C5F83" w:rsidRPr="009B7A7D" w:rsidRDefault="009C5F83"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9C5F83" w:rsidRPr="009B7A7D" w:rsidRDefault="009C5F83"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9C5F83" w:rsidRDefault="009C5F83" w:rsidP="009B7A7D">
      <w:pPr>
        <w:pStyle w:val="CommentText"/>
      </w:pPr>
    </w:p>
  </w:comment>
  <w:comment w:id="9" w:author="Julia Baum" w:date="2017-07-11T15:23:00Z" w:initials="JB">
    <w:p w14:paraId="0AAEE86F" w14:textId="7C1EAA9D" w:rsidR="009C5F83" w:rsidRPr="000B7A24" w:rsidRDefault="009C5F83"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0" w:author="Danielle Claar" w:date="2017-08-08T10:42:00Z" w:initials="DC">
    <w:p w14:paraId="6EB855B6" w14:textId="77777777" w:rsidR="009C5F83" w:rsidRDefault="009C5F83">
      <w:pPr>
        <w:pStyle w:val="CommentText"/>
      </w:pPr>
      <w:r>
        <w:rPr>
          <w:rStyle w:val="CommentReference"/>
        </w:rPr>
        <w:annotationRef/>
      </w:r>
      <w:r>
        <w:t>Add another panel?</w:t>
      </w:r>
    </w:p>
    <w:p w14:paraId="65E35708" w14:textId="77777777" w:rsidR="009C5F83" w:rsidRDefault="009C5F83">
      <w:pPr>
        <w:pStyle w:val="CommentText"/>
      </w:pPr>
    </w:p>
    <w:p w14:paraId="0BB625B5" w14:textId="77777777" w:rsidR="009C5F83" w:rsidRDefault="009C5F83"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9C5F83" w:rsidRPr="001109A4" w:rsidRDefault="009C5F83"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244AC" w14:textId="77777777" w:rsidR="008B0463" w:rsidRDefault="008B0463" w:rsidP="00210D46">
      <w:r>
        <w:separator/>
      </w:r>
    </w:p>
  </w:endnote>
  <w:endnote w:type="continuationSeparator" w:id="0">
    <w:p w14:paraId="44F7DDBC" w14:textId="77777777" w:rsidR="008B0463" w:rsidRDefault="008B0463"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41E18E39" w:rsidR="009C5F83" w:rsidRPr="00210D46" w:rsidRDefault="009C5F83">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D64E8C">
          <w:rPr>
            <w:rFonts w:ascii="HelveticaNeueLT Std" w:hAnsi="HelveticaNeueLT Std"/>
            <w:noProof/>
            <w:sz w:val="20"/>
            <w:szCs w:val="20"/>
          </w:rPr>
          <w:t>10</w:t>
        </w:r>
        <w:r w:rsidRPr="00210D46">
          <w:rPr>
            <w:rFonts w:ascii="HelveticaNeueLT Std" w:hAnsi="HelveticaNeueLT Std"/>
            <w:noProof/>
            <w:sz w:val="20"/>
            <w:szCs w:val="20"/>
          </w:rPr>
          <w:fldChar w:fldCharType="end"/>
        </w:r>
      </w:p>
    </w:sdtContent>
  </w:sdt>
  <w:p w14:paraId="400608C6" w14:textId="77777777" w:rsidR="009C5F83" w:rsidRDefault="009C5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E77BC" w14:textId="77777777" w:rsidR="008B0463" w:rsidRDefault="008B0463" w:rsidP="00210D46">
      <w:r>
        <w:separator/>
      </w:r>
    </w:p>
  </w:footnote>
  <w:footnote w:type="continuationSeparator" w:id="0">
    <w:p w14:paraId="1237E330" w14:textId="77777777" w:rsidR="008B0463" w:rsidRDefault="008B0463"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16090"/>
    <w:rsid w:val="00046BBA"/>
    <w:rsid w:val="00074678"/>
    <w:rsid w:val="000B7A24"/>
    <w:rsid w:val="000D0A9A"/>
    <w:rsid w:val="000F3013"/>
    <w:rsid w:val="001102CF"/>
    <w:rsid w:val="001109A4"/>
    <w:rsid w:val="00115B73"/>
    <w:rsid w:val="00122A09"/>
    <w:rsid w:val="001421F6"/>
    <w:rsid w:val="0018105D"/>
    <w:rsid w:val="00194FB4"/>
    <w:rsid w:val="001C2457"/>
    <w:rsid w:val="001D3E37"/>
    <w:rsid w:val="002104FF"/>
    <w:rsid w:val="00210D46"/>
    <w:rsid w:val="002A0DC1"/>
    <w:rsid w:val="002B14EF"/>
    <w:rsid w:val="002C26FC"/>
    <w:rsid w:val="002D1D06"/>
    <w:rsid w:val="002F0A80"/>
    <w:rsid w:val="00305362"/>
    <w:rsid w:val="00316B53"/>
    <w:rsid w:val="00333B1A"/>
    <w:rsid w:val="00346317"/>
    <w:rsid w:val="00355B02"/>
    <w:rsid w:val="00387A12"/>
    <w:rsid w:val="003F6C43"/>
    <w:rsid w:val="00426C46"/>
    <w:rsid w:val="00444448"/>
    <w:rsid w:val="0045051B"/>
    <w:rsid w:val="0049591B"/>
    <w:rsid w:val="004A0DCE"/>
    <w:rsid w:val="004B1E34"/>
    <w:rsid w:val="004D76DE"/>
    <w:rsid w:val="00504E0C"/>
    <w:rsid w:val="005363D1"/>
    <w:rsid w:val="00537568"/>
    <w:rsid w:val="005429A4"/>
    <w:rsid w:val="00545C53"/>
    <w:rsid w:val="00584862"/>
    <w:rsid w:val="005B7BA5"/>
    <w:rsid w:val="005C49FF"/>
    <w:rsid w:val="006414F5"/>
    <w:rsid w:val="0064287D"/>
    <w:rsid w:val="00666AC7"/>
    <w:rsid w:val="006A7F3F"/>
    <w:rsid w:val="006B11A2"/>
    <w:rsid w:val="006E7B94"/>
    <w:rsid w:val="006F68ED"/>
    <w:rsid w:val="00771592"/>
    <w:rsid w:val="007F4155"/>
    <w:rsid w:val="00816C56"/>
    <w:rsid w:val="00820EB3"/>
    <w:rsid w:val="00875B81"/>
    <w:rsid w:val="008A1E2F"/>
    <w:rsid w:val="008B0463"/>
    <w:rsid w:val="008B614D"/>
    <w:rsid w:val="00901C1B"/>
    <w:rsid w:val="009054BD"/>
    <w:rsid w:val="00987001"/>
    <w:rsid w:val="009B7A7D"/>
    <w:rsid w:val="009C56F2"/>
    <w:rsid w:val="009C5F83"/>
    <w:rsid w:val="009D56CD"/>
    <w:rsid w:val="009F300F"/>
    <w:rsid w:val="00A01CA3"/>
    <w:rsid w:val="00A1049C"/>
    <w:rsid w:val="00A558F3"/>
    <w:rsid w:val="00A9548D"/>
    <w:rsid w:val="00AA16C0"/>
    <w:rsid w:val="00AC761B"/>
    <w:rsid w:val="00B05B41"/>
    <w:rsid w:val="00B239B1"/>
    <w:rsid w:val="00B36C82"/>
    <w:rsid w:val="00B42190"/>
    <w:rsid w:val="00B6105D"/>
    <w:rsid w:val="00B942AE"/>
    <w:rsid w:val="00BA2449"/>
    <w:rsid w:val="00BB39AD"/>
    <w:rsid w:val="00BF42FE"/>
    <w:rsid w:val="00BF4332"/>
    <w:rsid w:val="00C57436"/>
    <w:rsid w:val="00C610A1"/>
    <w:rsid w:val="00C62FF3"/>
    <w:rsid w:val="00C75FC0"/>
    <w:rsid w:val="00CF0B07"/>
    <w:rsid w:val="00CF6618"/>
    <w:rsid w:val="00D02433"/>
    <w:rsid w:val="00D066B1"/>
    <w:rsid w:val="00D64E8C"/>
    <w:rsid w:val="00E22FE2"/>
    <w:rsid w:val="00E84794"/>
    <w:rsid w:val="00E90654"/>
    <w:rsid w:val="00E92EFD"/>
    <w:rsid w:val="00EB0019"/>
    <w:rsid w:val="00EC5CC6"/>
    <w:rsid w:val="00F23C37"/>
    <w:rsid w:val="00F375C9"/>
    <w:rsid w:val="00F7012C"/>
    <w:rsid w:val="00F860F4"/>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8FBD8F7F-8401-4ED4-A9DD-B7245A4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11939</TotalTime>
  <Pages>16</Pages>
  <Words>4057</Words>
  <Characters>23126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22</cp:revision>
  <cp:lastPrinted>2017-07-21T19:33:00Z</cp:lastPrinted>
  <dcterms:created xsi:type="dcterms:W3CDTF">2017-07-11T21:40:00Z</dcterms:created>
  <dcterms:modified xsi:type="dcterms:W3CDTF">2017-08-10T17:47:00Z</dcterms:modified>
</cp:coreProperties>
</file>