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9</w:t>
      </w:r>
      <w:r>
        <w:t xml:space="preserve"> </w:t>
      </w:r>
      <w:r>
        <w:t xml:space="preserve">May</w:t>
      </w:r>
      <w:r>
        <w:t xml:space="preserve"> </w:t>
      </w:r>
      <w:r>
        <w:t xml:space="preserve">2017</w:t>
      </w:r>
    </w:p>
    <w:p>
      <w:pPr>
        <w:pStyle w:val="FirstParagraph"/>
      </w:pPr>
      <w:r>
        <w:rPr>
          <w:b/>
        </w:rPr>
        <w:t xml:space="preserve">Introduction</w:t>
      </w:r>
      <w:r>
        <w:br w:type="textWrapping"/>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We had an excellent response to the survey, with over xxxx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federal government and its future prospects in .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researchers, we gathered email addresses from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p>
    <w:p>
      <w:pPr>
        <w:pStyle w:val="BodyText"/>
      </w:pPr>
      <w:r>
        <w:rPr>
          <w:b/>
        </w:rPr>
        <w:t xml:space="preserve">Note that numbers not all the same because respondents did not always answer every question</w:t>
      </w:r>
    </w:p>
    <w:p>
      <w:pPr>
        <w:pStyle w:val="BodyText"/>
      </w:pPr>
      <w:r>
        <w:rPr>
          <w:b/>
        </w:rPr>
        <w:t xml:space="preserve">Results</w:t>
      </w:r>
      <w:r>
        <w:br w:type="textWrapping"/>
      </w:r>
      <w:r>
        <w:t xml:space="preserve">In total, 2910 researchers completed the online survey. Of these, almost xxxxx were male (71%) and xxxxx were female (28%); xxxx proportion either did not input their gender or selected other. xxxx of the survey respondents (92%) were either senior academics (62%), defined as those researchers with more than ten years experience applying for research grants since completion of their PhD, or early career academics (30%) (Figure 4.1). xxxxx also came from post-doctoral researchers (6%), non-academic researchers (2%), or those who did not indicate their career stage (0.4%).</w:t>
      </w:r>
    </w:p>
    <w:p>
      <w:pPr>
        <w:pStyle w:val="BodyText"/>
      </w:pPr>
      <w:r>
        <w:t xml:space="preserve">Researchers from many different disciplines were represented in the survey. Almost xxxx percent of responses came from either the natural or physical sciences (Figure 4.2). The remaining responses were spread amongst the medical and life sciences (23%), engineering (10%), interdisciplinary research (6%), and social sciences and humanities (8%).</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p>
      <w:pPr>
        <w:pStyle w:val="FigureWithCaption"/>
      </w:pP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2_files/figure-docx/unnamed-chunk-20-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4.14 Distribution of research funding over the past 10 years. Researchers were asked to estimate the distribution of their research funding sources in 2006-2010 and 2011-2015.</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Warning: Removed 1 rows containing missing values (geom_bar).</w:t>
      </w:r>
    </w:p>
    <w:p>
      <w:pPr>
        <w:pStyle w:val="SourceCode"/>
      </w:pPr>
      <w:r>
        <w:rPr>
          <w:rStyle w:val="VerbatimChar"/>
        </w:rPr>
        <w:t xml:space="preserve">## Warning: Removed 1 rows containing missing values (geom_text).</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Warning: Removed 1 rows containing missing values (geom_bar).</w:t>
      </w:r>
    </w:p>
    <w:p>
      <w:pPr>
        <w:pStyle w:val="SourceCode"/>
      </w:pPr>
      <w:r>
        <w:rPr>
          <w:rStyle w:val="VerbatimChar"/>
        </w:rPr>
        <w:t xml:space="preserve">## Warning: Removed 1 rows containing missing values (geom_text).</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Warning: Removed 1 rows containing missing values (geom_bar).</w:t>
      </w:r>
    </w:p>
    <w:p>
      <w:pPr>
        <w:pStyle w:val="SourceCode"/>
      </w:pPr>
      <w:r>
        <w:rPr>
          <w:rStyle w:val="VerbatimChar"/>
        </w:rPr>
        <w:t xml:space="preserve">## Warning: Removed 1 rows containing missing values (geom_text).</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Warning: Removed 1 rows containing missing values (geom_bar).</w:t>
      </w:r>
    </w:p>
    <w:p>
      <w:pPr>
        <w:pStyle w:val="SourceCode"/>
      </w:pPr>
      <w:r>
        <w:rPr>
          <w:rStyle w:val="VerbatimChar"/>
        </w:rPr>
        <w:t xml:space="preserve">## Warning: Removed 1 rows containing missing values (geom_text).</w:t>
      </w:r>
    </w:p>
    <w:p>
      <w:pPr>
        <w:pStyle w:val="SourceCode"/>
      </w:pPr>
      <w:r>
        <w:rPr>
          <w:rStyle w:val="VerbatimChar"/>
        </w:rPr>
        <w:t xml:space="preserve">## quartz_off_screen </w:t>
      </w:r>
      <w:r>
        <w:br w:type="textWrapping"/>
      </w:r>
      <w:r>
        <w:rPr>
          <w:rStyle w:val="VerbatimChar"/>
        </w:rPr>
        <w:t xml:space="preserve">##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47d5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online survey on fundamental research</dc:title>
  <dc:creator/>
  <dcterms:created xsi:type="dcterms:W3CDTF">2017-11-15T00:56:13Z</dcterms:created>
  <dcterms:modified xsi:type="dcterms:W3CDTF">2017-11-15T00:56:13Z</dcterms:modified>
</cp:coreProperties>
</file>