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276" w:lineRule="auto"/>
        <w:ind w:right="424"/>
        <w:rPr>
          <w:rFonts w:ascii="Open Sans" w:cs="Open Sans" w:eastAsia="Open Sans" w:hAnsi="Open Sans"/>
          <w:b w:val="1"/>
          <w:color w:val="002060"/>
          <w:sz w:val="48"/>
          <w:szCs w:val="48"/>
        </w:rPr>
      </w:pPr>
      <w:r w:rsidDel="00000000" w:rsidR="00000000" w:rsidRPr="00000000">
        <w:rPr>
          <w:rFonts w:ascii="Open Sans" w:cs="Open Sans" w:eastAsia="Open Sans" w:hAnsi="Open Sans"/>
          <w:b w:val="1"/>
          <w:i w:val="1"/>
          <w:color w:val="002060"/>
          <w:sz w:val="48"/>
          <w:szCs w:val="48"/>
          <w:rtl w:val="0"/>
        </w:rPr>
        <w:t xml:space="preserve">Machine learning</w:t>
      </w:r>
      <w:r w:rsidDel="00000000" w:rsidR="00000000" w:rsidRPr="00000000">
        <w:rPr>
          <w:rFonts w:ascii="Open Sans" w:cs="Open Sans" w:eastAsia="Open Sans" w:hAnsi="Open Sans"/>
          <w:b w:val="1"/>
          <w:color w:val="002060"/>
          <w:sz w:val="48"/>
          <w:szCs w:val="48"/>
          <w:rtl w:val="0"/>
        </w:rPr>
        <w:t xml:space="preserve">: Clasificación y Regresión</w:t>
      </w:r>
    </w:p>
    <w:p w:rsidR="00000000" w:rsidDel="00000000" w:rsidP="00000000" w:rsidRDefault="00000000" w:rsidRPr="00000000" w14:paraId="00000002">
      <w:pPr>
        <w:spacing w:after="120" w:before="120" w:line="276" w:lineRule="auto"/>
        <w:ind w:right="424"/>
        <w:rPr>
          <w:rFonts w:ascii="Open Sans" w:cs="Open Sans" w:eastAsia="Open Sans" w:hAnsi="Open Sans"/>
          <w:color w:val="142667"/>
          <w:sz w:val="32"/>
          <w:szCs w:val="32"/>
        </w:rPr>
      </w:pPr>
      <w:r w:rsidDel="00000000" w:rsidR="00000000" w:rsidRPr="00000000">
        <w:rPr>
          <w:rFonts w:ascii="Open Sans" w:cs="Open Sans" w:eastAsia="Open Sans" w:hAnsi="Open Sans"/>
          <w:color w:val="142667"/>
          <w:sz w:val="32"/>
          <w:szCs w:val="32"/>
          <w:rtl w:val="0"/>
        </w:rPr>
        <w:t xml:space="preserve">Actividad 4</w:t>
      </w:r>
    </w:p>
    <w:p w:rsidR="00000000" w:rsidDel="00000000" w:rsidP="00000000" w:rsidRDefault="00000000" w:rsidRPr="00000000" w14:paraId="00000003">
      <w:pPr>
        <w:spacing w:after="0" w:before="24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4">
      <w:pPr>
        <w:spacing w:after="0" w:before="240" w:line="240" w:lineRule="auto"/>
        <w:ind w:right="424"/>
        <w:jc w:val="both"/>
        <w:rPr/>
      </w:pPr>
      <w:r w:rsidDel="00000000" w:rsidR="00000000" w:rsidRPr="00000000">
        <w:rPr>
          <w:rFonts w:ascii="Open Sans" w:cs="Open Sans" w:eastAsia="Open Sans" w:hAnsi="Open Sans"/>
          <w:b w:val="1"/>
          <w:color w:val="142667"/>
          <w:sz w:val="36"/>
          <w:szCs w:val="36"/>
          <w:rtl w:val="0"/>
        </w:rPr>
        <w:t xml:space="preserve">Situación</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5">
      <w:pPr>
        <w:spacing w:after="120" w:before="120" w:line="276" w:lineRule="auto"/>
        <w:ind w:right="424"/>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 propuesta Ames Housing ha permitido contar con una interesante mirada sobre las potencialidades de un modelo según lo requerido por la empresa.</w:t>
      </w:r>
    </w:p>
    <w:p w:rsidR="00000000" w:rsidDel="00000000" w:rsidP="00000000" w:rsidRDefault="00000000" w:rsidRPr="00000000" w14:paraId="00000007">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Para cerrar esta fase de exploración, la empresa ha solicitado realizar un análisis PCA.</w:t>
      </w:r>
    </w:p>
    <w:p w:rsidR="00000000" w:rsidDel="00000000" w:rsidP="00000000" w:rsidRDefault="00000000" w:rsidRPr="00000000" w14:paraId="00000008">
      <w:pPr>
        <w:spacing w:after="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No olvidar que PCA es una técnica de reducción de la dimensionalidad que se utiliza para extraer características importantes de un conjunto de datos y representarlas en un espacio de menor dimensión. Al reducir el número de dimensiones, PCA puede ayudar a mejorar la eficiencia computacional, reducir el ruido y aumentar la interpretación de los datos.</w:t>
      </w:r>
    </w:p>
    <w:p w:rsidR="00000000" w:rsidDel="00000000" w:rsidP="00000000" w:rsidRDefault="00000000" w:rsidRPr="00000000" w14:paraId="00000009">
      <w:pPr>
        <w:spacing w:after="120" w:before="12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A">
      <w:pPr>
        <w:spacing w:after="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b w:val="1"/>
          <w:color w:val="142667"/>
          <w:sz w:val="36"/>
          <w:szCs w:val="36"/>
          <w:rtl w:val="0"/>
        </w:rPr>
        <w:t xml:space="preserve">Consignas</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Rule="auto"/>
        <w:jc w:val="both"/>
        <w:rPr>
          <w:rFonts w:ascii="Gotham Book" w:cs="Gotham Book" w:eastAsia="Gotham Book" w:hAnsi="Gotham Book"/>
          <w:sz w:val="24"/>
          <w:szCs w:val="24"/>
        </w:rPr>
      </w:pPr>
      <w:r w:rsidDel="00000000" w:rsidR="00000000" w:rsidRPr="00000000">
        <w:rPr>
          <w:rtl w:val="0"/>
        </w:rPr>
      </w:r>
    </w:p>
    <w:p w:rsidR="00000000" w:rsidDel="00000000" w:rsidP="00000000" w:rsidRDefault="00000000" w:rsidRPr="00000000" w14:paraId="0000000C">
      <w:pPr>
        <w:spacing w:after="0" w:before="0" w:lineRule="auto"/>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sz w:val="24"/>
          <w:szCs w:val="24"/>
          <w:rtl w:val="0"/>
        </w:rPr>
        <w:t xml:space="preserve">Realizar un análisis PCA. Seleccionar columnas específicas del conjunto de datos original para su análisis y se reemplazan los valores faltantes con la media. Luego, los datos se normalizan mediante la estandarización (con la clase StandardScaler), para que las diferentes características tengan la misma importancia en el análisis. El modelo PCA se ajusta con n_components=16, lo que significa que el análisis resultará en 16 componentes principales.</w:t>
      </w:r>
      <w:r w:rsidDel="00000000" w:rsidR="00000000" w:rsidRPr="00000000">
        <w:rPr>
          <w:rtl w:val="0"/>
        </w:rPr>
      </w:r>
    </w:p>
    <w:p w:rsidR="00000000" w:rsidDel="00000000" w:rsidP="00000000" w:rsidRDefault="00000000" w:rsidRPr="00000000" w14:paraId="0000000D">
      <w:pPr>
        <w:spacing w:after="0" w:line="276" w:lineRule="auto"/>
        <w:ind w:right="424"/>
        <w:jc w:val="both"/>
        <w:rPr>
          <w:rFonts w:ascii="Open Sans" w:cs="Open Sans" w:eastAsia="Open Sans" w:hAnsi="Open Sans"/>
          <w:b w:val="1"/>
          <w:color w:val="142667"/>
          <w:sz w:val="36"/>
          <w:szCs w:val="36"/>
        </w:rPr>
      </w:pPr>
      <w:r w:rsidDel="00000000" w:rsidR="00000000" w:rsidRPr="00000000">
        <w:rPr>
          <w:rtl w:val="0"/>
        </w:rPr>
      </w:r>
    </w:p>
    <w:p w:rsidR="00000000" w:rsidDel="00000000" w:rsidP="00000000" w:rsidRDefault="00000000" w:rsidRPr="00000000" w14:paraId="0000000E">
      <w:pPr>
        <w:spacing w:after="0" w:line="276" w:lineRule="auto"/>
        <w:ind w:right="424"/>
        <w:jc w:val="both"/>
        <w:rPr>
          <w:rFonts w:ascii="Open Sans" w:cs="Open Sans" w:eastAsia="Open Sans" w:hAnsi="Open Sans"/>
          <w:b w:val="1"/>
          <w:color w:val="142667"/>
          <w:sz w:val="36"/>
          <w:szCs w:val="36"/>
        </w:rPr>
      </w:pPr>
      <w:r w:rsidDel="00000000" w:rsidR="00000000" w:rsidRPr="00000000">
        <w:rPr>
          <w:rFonts w:ascii="Open Sans" w:cs="Open Sans" w:eastAsia="Open Sans" w:hAnsi="Open Sans"/>
          <w:b w:val="1"/>
          <w:color w:val="142667"/>
          <w:sz w:val="36"/>
          <w:szCs w:val="36"/>
          <w:rtl w:val="0"/>
        </w:rPr>
        <w:t xml:space="preserve">Entrega</w:t>
      </w:r>
      <w:r w:rsidDel="00000000" w:rsidR="00000000" w:rsidRPr="00000000">
        <w:rPr>
          <w:rFonts w:ascii="Open Sans" w:cs="Open Sans" w:eastAsia="Open Sans" w:hAnsi="Open Sans"/>
          <w:b w:val="1"/>
          <w:color w:val="142667"/>
          <w:sz w:val="36"/>
          <w:szCs w:val="36"/>
        </w:rPr>
        <w:drawing>
          <wp:inline distB="114300" distT="114300" distL="114300" distR="114300">
            <wp:extent cx="5124450" cy="381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44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240" w:line="276" w:lineRule="auto"/>
        <w:ind w:right="424"/>
        <w:jc w:val="both"/>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¡Llegamos al final de la actividad de este módulo!</w:t>
      </w:r>
      <w:r w:rsidDel="00000000" w:rsidR="00000000" w:rsidRPr="00000000">
        <w:rPr>
          <w:rFonts w:ascii="Open Sans" w:cs="Open Sans" w:eastAsia="Open Sans" w:hAnsi="Open Sans"/>
          <w:sz w:val="24"/>
          <w:szCs w:val="24"/>
          <w:rtl w:val="0"/>
        </w:rPr>
        <w:t xml:space="preserve"> Recordemos guardar las respuestas y luego subirlas clicando en el botón </w:t>
      </w:r>
      <w:r w:rsidDel="00000000" w:rsidR="00000000" w:rsidRPr="00000000">
        <w:rPr>
          <w:rFonts w:ascii="Open Sans" w:cs="Open Sans" w:eastAsia="Open Sans" w:hAnsi="Open Sans"/>
          <w:b w:val="1"/>
          <w:sz w:val="24"/>
          <w:szCs w:val="24"/>
          <w:rtl w:val="0"/>
        </w:rPr>
        <w:t xml:space="preserve">"Enviar tarea".</w:t>
      </w:r>
    </w:p>
    <w:p w:rsidR="00000000" w:rsidDel="00000000" w:rsidP="00000000" w:rsidRDefault="00000000" w:rsidRPr="00000000" w14:paraId="00000010">
      <w:pPr>
        <w:spacing w:after="12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Podemos consultar las dudas con nuestros compañeros en el foro de la materia o con el tutor. </w:t>
      </w:r>
    </w:p>
    <w:p w:rsidR="00000000" w:rsidDel="00000000" w:rsidP="00000000" w:rsidRDefault="00000000" w:rsidRPr="00000000" w14:paraId="00000011">
      <w:pPr>
        <w:spacing w:after="120" w:before="120" w:line="276" w:lineRule="auto"/>
        <w:ind w:right="424"/>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 requiere la presentación de un archivo Jupiter Notebook.</w:t>
      </w:r>
    </w:p>
    <w:sectPr>
      <w:headerReference r:id="rId8" w:type="default"/>
      <w:pgSz w:h="16838" w:w="11906" w:orient="portrait"/>
      <w:pgMar w:bottom="1417" w:top="11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otham Book"/>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-1067433</wp:posOffset>
          </wp:positionH>
          <wp:positionV relativeFrom="paragraph">
            <wp:posOffset>-436878</wp:posOffset>
          </wp:positionV>
          <wp:extent cx="7531100" cy="106045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31100" cy="1060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iPriority w:val="99"/>
    <w:unhideWhenUsed w:val="1"/>
    <w:rsid w:val="007504A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504A2"/>
  </w:style>
  <w:style w:type="paragraph" w:styleId="Piedepgina">
    <w:name w:val="footer"/>
    <w:basedOn w:val="Normal"/>
    <w:link w:val="PiedepginaCar"/>
    <w:uiPriority w:val="99"/>
    <w:unhideWhenUsed w:val="1"/>
    <w:rsid w:val="007504A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504A2"/>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Textodeglobo">
    <w:name w:val="Balloon Text"/>
    <w:basedOn w:val="Normal"/>
    <w:link w:val="TextodegloboCar"/>
    <w:uiPriority w:val="99"/>
    <w:semiHidden w:val="1"/>
    <w:unhideWhenUsed w:val="1"/>
    <w:rsid w:val="00BC482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BC482A"/>
    <w:rPr>
      <w:rFonts w:ascii="Segoe UI" w:cs="Segoe UI" w:hAnsi="Segoe UI"/>
      <w:sz w:val="18"/>
      <w:szCs w:val="18"/>
    </w:rPr>
  </w:style>
  <w:style w:type="paragraph" w:styleId="Prrafodelista">
    <w:name w:val="List Paragraph"/>
    <w:basedOn w:val="Normal"/>
    <w:uiPriority w:val="34"/>
    <w:qFormat w:val="1"/>
    <w:rsid w:val="00511BBD"/>
    <w:pPr>
      <w:ind w:left="720"/>
      <w:contextualSpacing w:val="1"/>
    </w:pPr>
  </w:style>
  <w:style w:type="paragraph" w:styleId="NormalWeb">
    <w:name w:val="Normal (Web)"/>
    <w:basedOn w:val="Normal"/>
    <w:uiPriority w:val="99"/>
    <w:semiHidden w:val="1"/>
    <w:unhideWhenUsed w:val="1"/>
    <w:rsid w:val="00557BC5"/>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4B2923"/>
    <w:rPr>
      <w:color w:val="0563c1" w:themeColor="hyperlink"/>
      <w:u w:val="single"/>
    </w:rPr>
  </w:style>
  <w:style w:type="character" w:styleId="Hipervnculovisitado">
    <w:name w:val="FollowedHyperlink"/>
    <w:basedOn w:val="Fuentedeprrafopredeter"/>
    <w:uiPriority w:val="99"/>
    <w:semiHidden w:val="1"/>
    <w:unhideWhenUsed w:val="1"/>
    <w:rsid w:val="004B1730"/>
    <w:rPr>
      <w:color w:val="954f72" w:themeColor="followedHyperlink"/>
      <w:u w:val="single"/>
    </w:rPr>
  </w:style>
  <w:style w:type="character" w:styleId="Refdecomentario">
    <w:name w:val="annotation reference"/>
    <w:basedOn w:val="Fuentedeprrafopredeter"/>
    <w:uiPriority w:val="99"/>
    <w:semiHidden w:val="1"/>
    <w:unhideWhenUsed w:val="1"/>
    <w:rsid w:val="00803CED"/>
    <w:rPr>
      <w:sz w:val="16"/>
      <w:szCs w:val="16"/>
    </w:rPr>
  </w:style>
  <w:style w:type="paragraph" w:styleId="Textocomentario">
    <w:name w:val="annotation text"/>
    <w:basedOn w:val="Normal"/>
    <w:link w:val="TextocomentarioCar"/>
    <w:uiPriority w:val="99"/>
    <w:semiHidden w:val="1"/>
    <w:unhideWhenUsed w:val="1"/>
    <w:rsid w:val="00803CE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03CED"/>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3CED"/>
    <w:rPr>
      <w:b w:val="1"/>
      <w:bCs w:val="1"/>
    </w:rPr>
  </w:style>
  <w:style w:type="character" w:styleId="AsuntodelcomentarioCar" w:customStyle="1">
    <w:name w:val="Asunto del comentario Car"/>
    <w:basedOn w:val="TextocomentarioCar"/>
    <w:link w:val="Asuntodelcomentario"/>
    <w:uiPriority w:val="99"/>
    <w:semiHidden w:val="1"/>
    <w:rsid w:val="00803CED"/>
    <w:rPr>
      <w:b w:val="1"/>
      <w:bCs w:val="1"/>
      <w:sz w:val="20"/>
      <w:szCs w:val="20"/>
    </w:rPr>
  </w:style>
  <w:style w:type="character" w:styleId="Mencinsinresolver">
    <w:name w:val="Unresolved Mention"/>
    <w:basedOn w:val="Fuentedeprrafopredeter"/>
    <w:uiPriority w:val="99"/>
    <w:semiHidden w:val="1"/>
    <w:unhideWhenUsed w:val="1"/>
    <w:rsid w:val="004F451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KAf28qNeOZL4Jf3ctN1RJgqxDA==">CgMxLjA4AHIhMU16VUJxaUtuZExrMnhEa1d2N0pFUmJfeGRzbG9FcnhU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2023-06-07T14:56:00Z</dcterms:created>
  <dc:creator>Szkuhra, Sofia</dc:creator>
</cp:coreProperties>
</file>