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95b6569be08ffef4ec96567d879306dd49f761"/>
    <w:p>
      <w:pPr>
        <w:pStyle w:val="Heading1"/>
      </w:pPr>
      <w:r>
        <w:t xml:space="preserve">Blackbaud SKY API – App Registration &amp; Permissions Request</w:t>
      </w:r>
    </w:p>
    <w:p>
      <w:pPr>
        <w:pStyle w:val="FirstParagraph"/>
      </w:pPr>
      <w:r>
        <w:t xml:space="preserve">For Lisa Wong / Melissa Neatherlin – everything you’ll need to approve the AthleticOS SKY API integration.</w:t>
      </w:r>
    </w:p>
    <w:bookmarkStart w:id="9" w:name="application-identity"/>
    <w:p>
      <w:pPr>
        <w:pStyle w:val="Heading2"/>
      </w:pPr>
      <w:r>
        <w:t xml:space="preserve">Application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AthleticOS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ID (OAuth client_id)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e060cf3f-d079-469b-824b-43e2f0b0dfca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Principals</w:t>
            </w:r>
          </w:p>
        </w:tc>
        <w:tc>
          <w:tcPr/>
          <w:p>
            <w:pPr>
              <w:pStyle w:val="Compact"/>
            </w:pPr>
            <w:r>
              <w:t xml:space="preserve">Burke Autrey, Truman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website</w:t>
            </w:r>
          </w:p>
        </w:tc>
        <w:tc>
          <w:tcPr/>
          <w:p>
            <w:pPr>
              <w:pStyle w:val="Compact"/>
            </w:pPr>
            <w:r>
              <w:t xml:space="preserve">https://app.athleticos.co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</w:pPr>
            <w:r>
              <w:t xml:space="preserve">https://api.athleticos.co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contact</w:t>
            </w:r>
          </w:p>
        </w:tc>
        <w:tc>
          <w:tcPr/>
          <w:p>
            <w:pPr>
              <w:pStyle w:val="Compact"/>
            </w:pPr>
            <w:r>
              <w:t xml:space="preserve">Burke Autrey – burke@autreymail.com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contact</w:t>
            </w:r>
          </w:p>
        </w:tc>
        <w:tc>
          <w:tcPr/>
          <w:p>
            <w:pPr>
              <w:pStyle w:val="Compact"/>
            </w:pPr>
            <w:r>
              <w:t xml:space="preserve">Burke Autrey – burke@autreymail.com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Render (US-East), SOC 2 Type II certified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Private repository</w:t>
            </w:r>
          </w:p>
        </w:tc>
      </w:tr>
    </w:tbl>
    <w:bookmarkEnd w:id="9"/>
    <w:bookmarkStart w:id="10" w:name="oauth-2.0-redirect-uris"/>
    <w:p>
      <w:pPr>
        <w:pStyle w:val="Heading2"/>
      </w:pPr>
      <w:r>
        <w:t xml:space="preserve">OAuth 2.0 redirect URI(s)</w:t>
      </w:r>
    </w:p>
    <w:p>
      <w:pPr>
        <w:pStyle w:val="FirstParagraph"/>
      </w:pPr>
      <w:r>
        <w:t xml:space="preserve">Authorization-code flow. Please whitelist:</w:t>
      </w:r>
    </w:p>
    <w:p>
      <w:pPr>
        <w:pStyle w:val="Compact"/>
        <w:numPr>
          <w:ilvl w:val="0"/>
          <w:numId w:val="1001"/>
        </w:numPr>
      </w:pPr>
      <w:r>
        <w:t xml:space="preserve">Production:</w:t>
      </w:r>
      <w:r>
        <w:t xml:space="preserve"> </w:t>
      </w:r>
      <w:r>
        <w:rPr>
          <w:rStyle w:val="VerbatimChar"/>
        </w:rPr>
        <w:t xml:space="preserve">https://api.athleticos.co/auth/blackbaud/callback</w:t>
      </w:r>
    </w:p>
    <w:p>
      <w:pPr>
        <w:pStyle w:val="Compact"/>
        <w:numPr>
          <w:ilvl w:val="0"/>
          <w:numId w:val="1001"/>
        </w:numPr>
      </w:pPr>
      <w:r>
        <w:t xml:space="preserve">Local dev:</w:t>
      </w:r>
      <w:r>
        <w:t xml:space="preserve"> </w:t>
      </w:r>
      <w:r>
        <w:rPr>
          <w:rStyle w:val="VerbatimChar"/>
        </w:rPr>
        <w:t xml:space="preserve">http://localhost:8003/auth/blackbaud/callback</w:t>
      </w:r>
    </w:p>
    <w:p>
      <w:pPr>
        <w:pStyle w:val="FirstParagraph"/>
      </w:pPr>
      <w:r>
        <w:t xml:space="preserve">Both are necessary – production for the live integration, local for development and testing.</w:t>
      </w:r>
    </w:p>
    <w:bookmarkEnd w:id="10"/>
    <w:bookmarkStart w:id="14" w:name="scoped-permissions-request"/>
    <w:p>
      <w:pPr>
        <w:pStyle w:val="Heading2"/>
      </w:pPr>
      <w:r>
        <w:t xml:space="preserve">Scoped permissions request</w:t>
      </w:r>
    </w:p>
    <w:p>
      <w:pPr>
        <w:pStyle w:val="FirstParagraph"/>
      </w:pPr>
      <w:r>
        <w:t xml:space="preserve">We’re following least-privilege. Below is exactly what AthleticOS will read and write, and why.</w:t>
      </w:r>
    </w:p>
    <w:bookmarkStart w:id="11" w:name="read-access-start-here"/>
    <w:p>
      <w:pPr>
        <w:pStyle w:val="Heading3"/>
      </w:pPr>
      <w:r>
        <w:t xml:space="preserve">Read access (start 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Endpoint(s) (SKY)</w:t>
            </w:r>
          </w:p>
        </w:tc>
        <w:tc>
          <w:tcPr/>
          <w:p>
            <w:pPr>
              <w:pStyle w:val="Compact"/>
            </w:pPr>
            <w:r>
              <w:t xml:space="preserve">Why we need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school 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/school/v1/calendars/...</w:t>
            </w:r>
          </w:p>
        </w:tc>
        <w:tc>
          <w:tcPr/>
          <w:p>
            <w:pPr>
              <w:pStyle w:val="Compact"/>
            </w:pPr>
            <w:r>
              <w:t xml:space="preserve">Pull non-athletic events (exams, assemblies, fine arts, in-service days) so AthleticOS can flag conflicts. This is one of Beck’s top-4 priorities.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Athletic teams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/school/v1/athletics/teams</w:t>
            </w:r>
          </w:p>
        </w:tc>
        <w:tc>
          <w:tcPr/>
          <w:p>
            <w:pPr>
              <w:pStyle w:val="Compact"/>
            </w:pPr>
            <w:r>
              <w:t xml:space="preserve">Sync TCA’s existing teams instead of re-creating them in AthleticOS.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/school/v1/athletics/teams/{id}/schedule</w:t>
            </w:r>
          </w:p>
        </w:tc>
        <w:tc>
          <w:tcPr/>
          <w:p>
            <w:pPr>
              <w:pStyle w:val="Compact"/>
            </w:pPr>
            <w:r>
              <w:t xml:space="preserve">Read existing scheduled games/practices to detect cross-system disconnects.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/school/v1/athletics/teams/{id}/roster</w:t>
            </w:r>
          </w:p>
        </w:tc>
        <w:tc>
          <w:tcPr/>
          <w:p>
            <w:pPr>
              <w:pStyle w:val="Compact"/>
            </w:pPr>
            <w:r>
              <w:t xml:space="preserve">Required for the early-release workflow (which students leave campus, when).</w:t>
            </w:r>
          </w:p>
        </w:tc>
      </w:tr>
    </w:tbl>
    <w:bookmarkEnd w:id="11"/>
    <w:bookmarkStart w:id="12" w:name="X21b3c0f76e98a3c12edc53e4529b21dd3c60e91"/>
    <w:p>
      <w:pPr>
        <w:pStyle w:val="Heading3"/>
      </w:pPr>
      <w:r>
        <w:t xml:space="preserve">Write access (Phase 2, with explicit go-ahead)</w:t>
      </w:r>
    </w:p>
    <w:p>
      <w:pPr>
        <w:pStyle w:val="FirstParagraph"/>
      </w:pPr>
      <w:r>
        <w:t xml:space="preserve">We will not enable write until you’ve reviewed Phase 1 and approved.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44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/school/v1/athletics/teams/{id}/schedule</w:t>
            </w:r>
          </w:p>
        </w:tc>
        <w:tc>
          <w:tcPr/>
          <w:p>
            <w:pPr>
              <w:pStyle w:val="Compact"/>
            </w:pPr>
            <w:r>
              <w:t xml:space="preserve">When a coach creates a game in AthleticOS, push it into Blackbaud Athletics so the master calendar reflects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/school/v1/athletics/teams/{id}/practice</w:t>
            </w:r>
          </w:p>
        </w:tc>
        <w:tc>
          <w:tcPr/>
          <w:p>
            <w:pPr>
              <w:pStyle w:val="Compact"/>
            </w:pPr>
            <w:r>
              <w:t xml:space="preserve">Same pattern, practices.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opponent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/school/v1/athletics/opponents</w:t>
            </w:r>
          </w:p>
        </w:tc>
        <w:tc>
          <w:tcPr/>
          <w:p>
            <w:pPr>
              <w:pStyle w:val="Compact"/>
            </w:pPr>
            <w:r>
              <w:t xml:space="preserve">Needed when scheduling against a school not yet in Blackbaud.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/school/v1/athletics/locations</w:t>
            </w:r>
          </w:p>
        </w:tc>
        <w:tc>
          <w:tcPr/>
          <w:p>
            <w:pPr>
              <w:pStyle w:val="Compact"/>
            </w:pPr>
            <w:r>
              <w:t xml:space="preserve">For non-TCA venues.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game/practice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.../schedule/{id}</w:t>
            </w:r>
          </w:p>
        </w:tc>
        <w:tc>
          <w:tcPr/>
          <w:p>
            <w:pPr>
              <w:pStyle w:val="Compact"/>
            </w:pPr>
            <w:r>
              <w:t xml:space="preserve">Reschedules push 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game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.../result</w:t>
            </w:r>
          </w:p>
        </w:tc>
        <w:tc>
          <w:tcPr/>
          <w:p>
            <w:pPr>
              <w:pStyle w:val="Compact"/>
            </w:pPr>
            <w:r>
              <w:t xml:space="preserve">If TCA wants results synced back to Blackbaud.</w:t>
            </w:r>
          </w:p>
        </w:tc>
      </w:tr>
    </w:tbl>
    <w:bookmarkEnd w:id="12"/>
    <w:bookmarkStart w:id="13" w:name="what-we-are-not-requesting"/>
    <w:p>
      <w:pPr>
        <w:pStyle w:val="Heading3"/>
      </w:pPr>
      <w:r>
        <w:t xml:space="preserve">What we are NOT requesting</w:t>
      </w:r>
    </w:p>
    <w:p>
      <w:pPr>
        <w:pStyle w:val="Compact"/>
        <w:numPr>
          <w:ilvl w:val="0"/>
          <w:numId w:val="1002"/>
        </w:numPr>
      </w:pPr>
      <w:r>
        <w:t xml:space="preserve">Any access to financial / advancement data</w:t>
      </w:r>
    </w:p>
    <w:p>
      <w:pPr>
        <w:pStyle w:val="Compact"/>
        <w:numPr>
          <w:ilvl w:val="0"/>
          <w:numId w:val="1002"/>
        </w:numPr>
      </w:pPr>
      <w:r>
        <w:t xml:space="preserve">Any access to the LMS academic / grading data</w:t>
      </w:r>
    </w:p>
    <w:p>
      <w:pPr>
        <w:pStyle w:val="Compact"/>
        <w:numPr>
          <w:ilvl w:val="0"/>
          <w:numId w:val="1002"/>
        </w:numPr>
      </w:pPr>
      <w:r>
        <w:t xml:space="preserve">Student PII beyond what’s on athletic rosters (name, grade, team)</w:t>
      </w:r>
    </w:p>
    <w:p>
      <w:pPr>
        <w:pStyle w:val="Compact"/>
        <w:numPr>
          <w:ilvl w:val="0"/>
          <w:numId w:val="1002"/>
        </w:numPr>
      </w:pPr>
      <w:r>
        <w:t xml:space="preserve">Faculty / staff records beyond athletic coaches</w:t>
      </w:r>
    </w:p>
    <w:bookmarkEnd w:id="13"/>
    <w:bookmarkEnd w:id="14"/>
    <w:bookmarkStart w:id="15" w:name="data-sync-role"/>
    <w:p>
      <w:pPr>
        <w:pStyle w:val="Heading2"/>
      </w:pPr>
      <w:r>
        <w:t xml:space="preserve">Data sync role</w:t>
      </w:r>
    </w:p>
    <w:p>
      <w:pPr>
        <w:pStyle w:val="FirstParagraph"/>
      </w:pPr>
      <w:r>
        <w:t xml:space="preserve">Per Melissa’s confirmation (May 2026), TCA allows</w:t>
      </w:r>
      <w:r>
        <w:t xml:space="preserve"> </w:t>
      </w:r>
      <w:r>
        <w:t xml:space="preserve">“SKY API Data Sync”</w:t>
      </w:r>
      <w:r>
        <w:t xml:space="preserve"> </w:t>
      </w:r>
      <w:r>
        <w:t xml:space="preserve">for approved apps. Once we have this role assigned to the AthleticOS app’s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Burke will run the OAuth flow with a Blackbaud admin account to get the initial access + refresh tokens.</w:t>
      </w:r>
    </w:p>
    <w:bookmarkEnd w:id="15"/>
    <w:bookmarkStart w:id="16" w:name="handshake-whats-needed-from-each-side"/>
    <w:p>
      <w:pPr>
        <w:pStyle w:val="Heading2"/>
      </w:pPr>
      <w:r>
        <w:t xml:space="preserve">Handshake – what’s needed from each side</w:t>
      </w:r>
    </w:p>
    <w:p>
      <w:pPr>
        <w:pStyle w:val="FirstParagraph"/>
      </w:pPr>
      <w:r>
        <w:rPr>
          <w:b/>
          <w:bCs/>
        </w:rPr>
        <w:t xml:space="preserve">TCA / Blackbaud admin (Lisa or Melissa’s team):</w:t>
      </w:r>
      <w:r>
        <w:t xml:space="preserve"> </w:t>
      </w:r>
      <w:r>
        <w:t xml:space="preserve">1. Approve AthleticOS in TCA’s Blackbaud app marketplace / admin portal</w:t>
      </w:r>
      <w:r>
        <w:t xml:space="preserve"> </w:t>
      </w:r>
      <w:r>
        <w:t xml:space="preserve">2. Assign the</w:t>
      </w:r>
      <w:r>
        <w:t xml:space="preserve"> </w:t>
      </w:r>
      <w:r>
        <w:t xml:space="preserve">“Data Sync”</w:t>
      </w:r>
      <w:r>
        <w:t xml:space="preserve"> </w:t>
      </w:r>
      <w:r>
        <w:t xml:space="preserve">role</w:t>
      </w:r>
      <w:r>
        <w:t xml:space="preserve"> </w:t>
      </w:r>
      <w:r>
        <w:t xml:space="preserve">3. Confirm scopes above are acceptable</w:t>
      </w:r>
    </w:p>
    <w:p>
      <w:pPr>
        <w:pStyle w:val="BodyText"/>
      </w:pPr>
      <w:r>
        <w:rPr>
          <w:b/>
          <w:bCs/>
        </w:rPr>
        <w:t xml:space="preserve">AthleticOS (Burke):</w:t>
      </w:r>
      <w:r>
        <w:t xml:space="preserve"> </w:t>
      </w:r>
      <w:r>
        <w:t xml:space="preserve">1. ✅ Register the app at developer.blackbaud.com – DONE 2026-05-08. Application ID:</w:t>
      </w:r>
      <w:r>
        <w:t xml:space="preserve"> </w:t>
      </w:r>
      <w:r>
        <w:rPr>
          <w:rStyle w:val="VerbatimChar"/>
        </w:rPr>
        <w:t xml:space="preserve">e060cf3f-d079-469b-824b-43e2f0b0dfca</w:t>
      </w:r>
      <w:r>
        <w:t xml:space="preserve">. Both redirect URIs registered.</w:t>
      </w:r>
      <w:r>
        <w:t xml:space="preserve"> </w:t>
      </w:r>
      <w:r>
        <w:t xml:space="preserve">2. Implement</w:t>
      </w:r>
      <w:r>
        <w:t xml:space="preserve"> </w:t>
      </w:r>
      <w:r>
        <w:rPr>
          <w:rStyle w:val="VerbatimChar"/>
        </w:rPr>
        <w:t xml:space="preserve">/auth/blackbaud/callback</w:t>
      </w:r>
      <w:r>
        <w:t xml:space="preserve"> </w:t>
      </w:r>
      <w:r>
        <w:t xml:space="preserve">endpoint (small task – token storage in Render secrets)</w:t>
      </w:r>
      <w:r>
        <w:t xml:space="preserve"> </w:t>
      </w:r>
      <w:r>
        <w:t xml:space="preserve">3. Obtain a SKY API subscription key (separate from the app – needed in</w:t>
      </w:r>
      <w:r>
        <w:t xml:space="preserve"> </w:t>
      </w:r>
      <w:r>
        <w:rPr>
          <w:rStyle w:val="VerbatimChar"/>
        </w:rPr>
        <w:t xml:space="preserve">Bb-Api-Subscription-Key</w:t>
      </w:r>
      <w:r>
        <w:t xml:space="preserve"> </w:t>
      </w:r>
      <w:r>
        <w:t xml:space="preserve">header on every request)</w:t>
      </w:r>
      <w:r>
        <w:t xml:space="preserve"> </w:t>
      </w:r>
      <w:r>
        <w:t xml:space="preserve">4. Run OAuth flow with TCA admin account, store refresh token securely</w:t>
      </w:r>
      <w:r>
        <w:t xml:space="preserve"> </w:t>
      </w:r>
      <w:r>
        <w:t xml:space="preserve">5. Build read-only sync first; demo to Beck/Truman before any write goes live</w:t>
      </w:r>
    </w:p>
    <w:bookmarkEnd w:id="16"/>
    <w:bookmarkStart w:id="17" w:name="sandbox-vs-production"/>
    <w:p>
      <w:pPr>
        <w:pStyle w:val="Heading2"/>
      </w:pPr>
      <w:r>
        <w:t xml:space="preserve">Sandbox vs production</w:t>
      </w:r>
    </w:p>
    <w:p>
      <w:pPr>
        <w:pStyle w:val="FirstParagraph"/>
      </w:pPr>
      <w:r>
        <w:t xml:space="preserve">Open question for Lisa/Melissa: does TCA have a Blackbaud sandbox environment, or do we go straight at production with a single test team? We’ll respect whichever path you prefer.</w:t>
      </w:r>
    </w:p>
    <w:bookmarkEnd w:id="17"/>
    <w:bookmarkStart w:id="18" w:name="audit-revocation"/>
    <w:p>
      <w:pPr>
        <w:pStyle w:val="Heading2"/>
      </w:pPr>
      <w:r>
        <w:t xml:space="preserve">Audit + revocation</w:t>
      </w:r>
    </w:p>
    <w:p>
      <w:pPr>
        <w:pStyle w:val="Compact"/>
        <w:numPr>
          <w:ilvl w:val="0"/>
          <w:numId w:val="1003"/>
        </w:numPr>
      </w:pPr>
      <w:r>
        <w:t xml:space="preserve">Every Blackbaud API call from AthleticOS is logged with timestamp, user, scope, endpoint, response code – queryable on request.</w:t>
      </w:r>
    </w:p>
    <w:p>
      <w:pPr>
        <w:pStyle w:val="Compact"/>
        <w:numPr>
          <w:ilvl w:val="0"/>
          <w:numId w:val="1003"/>
        </w:numPr>
      </w:pPr>
      <w:r>
        <w:t xml:space="preserve">Access and refresh tokens are encrypted at the application layer with AES-256-GCM (key derived from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via HKDF) before being written to Postgres – defense in depth above Render’s at-rest disk encryption.</w:t>
      </w:r>
    </w:p>
    <w:p>
      <w:pPr>
        <w:pStyle w:val="Compact"/>
        <w:numPr>
          <w:ilvl w:val="0"/>
          <w:numId w:val="1003"/>
        </w:numPr>
      </w:pPr>
      <w:r>
        <w:t xml:space="preserve">AthleticOS app can be revoked at any time from the Blackbaud admin portal – no AthleticOS code change required.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2026-05-17T11:12:18Z</dcterms:created>
  <dcterms:modified xsi:type="dcterms:W3CDTF">2026-05-17T11:12:18Z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