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thleticos-data-handling-security-brief"/>
    <w:p>
      <w:pPr>
        <w:pStyle w:val="Heading1"/>
      </w:pPr>
      <w:r>
        <w:t xml:space="preserve">AthleticOS – Data Handling &amp; Security Brief</w:t>
      </w:r>
    </w:p>
    <w:p>
      <w:pPr>
        <w:pStyle w:val="FirstParagraph"/>
      </w:pPr>
      <w:r>
        <w:t xml:space="preserve">For Lisa Wong – addresses the student data hosting concerns raised April 15, 2026. Short and concrete; happy to expand any section on request.</w:t>
      </w:r>
    </w:p>
    <w:bookmarkStart w:id="9" w:name="what-data-athleticos-holds"/>
    <w:p>
      <w:pPr>
        <w:pStyle w:val="Heading2"/>
      </w:pPr>
      <w:r>
        <w:t xml:space="preserve">What data AthleticOS 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Specifics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Athletic schedules</w:t>
            </w:r>
          </w:p>
        </w:tc>
        <w:tc>
          <w:tcPr/>
          <w:p>
            <w:pPr>
              <w:pStyle w:val="Compact"/>
            </w:pPr>
            <w:r>
              <w:t xml:space="preserve">Games, practices, recurring events, blockers</w:t>
            </w:r>
          </w:p>
        </w:tc>
        <w:tc>
          <w:tcPr/>
          <w:p>
            <w:pPr>
              <w:pStyle w:val="Compact"/>
            </w:pPr>
            <w:r>
              <w:t xml:space="preserve">Created by coaches/AD in AthleticOS, or read from Blackbaud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+ facilities</w:t>
            </w:r>
          </w:p>
        </w:tc>
        <w:tc>
          <w:tcPr/>
          <w:p>
            <w:pPr>
              <w:pStyle w:val="Compact"/>
            </w:pPr>
            <w:r>
              <w:t xml:space="preserve">Team names, sport, season, facility names</w:t>
            </w:r>
          </w:p>
        </w:tc>
        <w:tc>
          <w:tcPr/>
          <w:p>
            <w:pPr>
              <w:pStyle w:val="Compact"/>
            </w:pPr>
            <w:r>
              <w:t xml:space="preserve">TCA (manual or Blackbaud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Roster</w:t>
            </w:r>
          </w:p>
        </w:tc>
        <w:tc>
          <w:tcPr/>
          <w:p>
            <w:pPr>
              <w:pStyle w:val="Compact"/>
            </w:pPr>
            <w:r>
              <w:t xml:space="preserve">Student name, grade, team membership</w:t>
            </w:r>
          </w:p>
        </w:tc>
        <w:tc>
          <w:tcPr/>
          <w:p>
            <w:pPr>
              <w:pStyle w:val="Compact"/>
            </w:pPr>
            <w:r>
              <w:t xml:space="preserve">Blackbaud sync (read-only)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 accounts</w:t>
            </w:r>
          </w:p>
        </w:tc>
        <w:tc>
          <w:tcPr/>
          <w:p>
            <w:pPr>
              <w:pStyle w:val="Compact"/>
            </w:pPr>
            <w:r>
              <w:t xml:space="preserve">Name, email, role, hashed password</w:t>
            </w:r>
          </w:p>
        </w:tc>
        <w:tc>
          <w:tcPr/>
          <w:p>
            <w:pPr>
              <w:pStyle w:val="Compact"/>
            </w:pPr>
            <w:r>
              <w:t xml:space="preserve">TCA invites + self-registration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logs</w:t>
            </w:r>
          </w:p>
        </w:tc>
        <w:tc>
          <w:tcPr/>
          <w:p>
            <w:pPr>
              <w:pStyle w:val="Compact"/>
            </w:pPr>
            <w:r>
              <w:t xml:space="preserve">What was sent, to whom, when</w:t>
            </w:r>
          </w:p>
        </w:tc>
        <w:tc>
          <w:tcPr/>
          <w:p>
            <w:pPr>
              <w:pStyle w:val="Compact"/>
            </w:pPr>
            <w:r>
              <w:t xml:space="preserve">Auto-generated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Every write, by whom, when</w:t>
            </w:r>
          </w:p>
        </w:tc>
        <w:tc>
          <w:tcPr/>
          <w:p>
            <w:pPr>
              <w:pStyle w:val="Compact"/>
            </w:pPr>
            <w:r>
              <w:t xml:space="preserve">Auto-generated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explicitly do NOT store:</w:t>
      </w:r>
      <w:r>
        <w:t xml:space="preserve"> </w:t>
      </w:r>
      <w:r>
        <w:t xml:space="preserve">parent contact info, grades, financial info, medical records, SSNs, addresses, photos, biometric data.</w:t>
      </w:r>
    </w:p>
    <w:bookmarkEnd w:id="9"/>
    <w:bookmarkStart w:id="10" w:name="where-it-lives"/>
    <w:p>
      <w:pPr>
        <w:pStyle w:val="Heading2"/>
      </w:pPr>
      <w:r>
        <w:t xml:space="preserve">Where it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299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servers</w:t>
            </w:r>
          </w:p>
        </w:tc>
        <w:tc>
          <w:tcPr/>
          <w:p>
            <w:pPr>
              <w:pStyle w:val="Compact"/>
            </w:pPr>
            <w:r>
              <w:t xml:space="preserve">Render (web service)</w:t>
            </w:r>
          </w:p>
        </w:tc>
        <w:tc>
          <w:tcPr/>
          <w:p>
            <w:pPr>
              <w:pStyle w:val="Compact"/>
            </w:pPr>
            <w:r>
              <w:t xml:space="preserve">US-East</w:t>
            </w:r>
          </w:p>
        </w:tc>
        <w:tc>
          <w:tcPr/>
          <w:p>
            <w:pPr>
              <w:pStyle w:val="Compact"/>
            </w:pPr>
            <w:r>
              <w:t xml:space="preserve">SOC 2 Type II certified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Render Managed PostgreSQL 16</w:t>
            </w:r>
          </w:p>
        </w:tc>
        <w:tc>
          <w:tcPr/>
          <w:p>
            <w:pPr>
              <w:pStyle w:val="Compact"/>
            </w:pPr>
            <w:r>
              <w:t xml:space="preserve">US-East</w:t>
            </w:r>
          </w:p>
        </w:tc>
        <w:tc>
          <w:tcPr/>
          <w:p>
            <w:pPr>
              <w:pStyle w:val="Compact"/>
            </w:pPr>
            <w:r>
              <w:t xml:space="preserve">Encrypted at rest (AES-256), encrypted in transit (TLS 1.2+), automated daily backups, point-in-time recovery (7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Render environment / secret store</w:t>
            </w:r>
          </w:p>
        </w:tc>
        <w:tc>
          <w:tcPr/>
          <w:p>
            <w:pPr>
              <w:pStyle w:val="Compact"/>
            </w:pPr>
            <w:r>
              <w:t xml:space="preserve">US-East</w:t>
            </w:r>
          </w:p>
        </w:tc>
        <w:tc>
          <w:tcPr/>
          <w:p>
            <w:pPr>
              <w:pStyle w:val="Compact"/>
            </w:pPr>
            <w:r>
              <w:t xml:space="preserve">Not in source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Render log stream + Grafana Cloud (Loki)</w:t>
            </w:r>
          </w:p>
        </w:tc>
        <w:tc>
          <w:tcPr/>
          <w:p>
            <w:pPr>
              <w:pStyle w:val="Compact"/>
            </w:pPr>
            <w:r>
              <w:t xml:space="preserve">US-East</w:t>
            </w:r>
          </w:p>
        </w:tc>
        <w:tc>
          <w:tcPr/>
          <w:p>
            <w:pPr>
              <w:pStyle w:val="Compact"/>
            </w:pPr>
            <w:r>
              <w:t xml:space="preserve">30-day retention; PII scrubbed from logs</w:t>
            </w:r>
          </w:p>
        </w:tc>
      </w:tr>
    </w:tbl>
    <w:p>
      <w:pPr>
        <w:pStyle w:val="BodyText"/>
      </w:pPr>
      <w:r>
        <w:t xml:space="preserve">No data leaves the US. No data is sent to third-party AI / analytics services.</w:t>
      </w:r>
    </w:p>
    <w:bookmarkEnd w:id="10"/>
    <w:bookmarkStart w:id="11" w:name="authentication-access-control"/>
    <w:p>
      <w:pPr>
        <w:pStyle w:val="Heading2"/>
      </w:pPr>
      <w:r>
        <w:t xml:space="preserve">Authentication &amp; access control</w:t>
      </w:r>
    </w:p>
    <w:p>
      <w:pPr>
        <w:pStyle w:val="Compact"/>
        <w:numPr>
          <w:ilvl w:val="0"/>
          <w:numId w:val="1001"/>
        </w:numPr>
      </w:pPr>
      <w:r>
        <w:t xml:space="preserve">Coach/AD accounts: email + password (bcrypt hashed, cost factor 12)</w:t>
      </w:r>
    </w:p>
    <w:p>
      <w:pPr>
        <w:pStyle w:val="Compact"/>
        <w:numPr>
          <w:ilvl w:val="0"/>
          <w:numId w:val="1001"/>
        </w:numPr>
      </w:pPr>
      <w:r>
        <w:t xml:space="preserve">JWT tokens, 15-minute access token + 7-day refresh, signed with rotating secret</w:t>
      </w:r>
    </w:p>
    <w:p>
      <w:pPr>
        <w:pStyle w:val="Compact"/>
        <w:numPr>
          <w:ilvl w:val="0"/>
          <w:numId w:val="1001"/>
        </w:numPr>
      </w:pPr>
      <w:r>
        <w:t xml:space="preserve">Third-party OAuth tokens (e.g. Blackbaud SKY access + refresh tokens) are encrypted at the application layer with AES-256-GCM (key derived from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via HKDF) before being written to Postgres – defense in depth on top of database-level at-rest encryption</w:t>
      </w:r>
    </w:p>
    <w:p>
      <w:pPr>
        <w:pStyle w:val="Compact"/>
        <w:numPr>
          <w:ilvl w:val="0"/>
          <w:numId w:val="1001"/>
        </w:numPr>
      </w:pPr>
      <w:r>
        <w:t xml:space="preserve">Role-based access: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– enforced on every API route</w:t>
      </w:r>
    </w:p>
    <w:p>
      <w:pPr>
        <w:pStyle w:val="Compact"/>
        <w:numPr>
          <w:ilvl w:val="0"/>
          <w:numId w:val="1001"/>
        </w:numPr>
      </w:pPr>
      <w:r>
        <w:t xml:space="preserve">Multi-tenant isolation: every tenant-scoped table carries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; queries are filtered server-side; no cross-school data exposure possible</w:t>
      </w:r>
    </w:p>
    <w:p>
      <w:pPr>
        <w:pStyle w:val="Compact"/>
        <w:numPr>
          <w:ilvl w:val="0"/>
          <w:numId w:val="1001"/>
        </w:numPr>
      </w:pPr>
      <w:r>
        <w:t xml:space="preserve">No public read endpoints expose roster data; calendar feeds (ICS) include event titles + times only, no student names</w:t>
      </w:r>
    </w:p>
    <w:bookmarkEnd w:id="11"/>
    <w:bookmarkStart w:id="12" w:name="data-lifecycle"/>
    <w:p>
      <w:pPr>
        <w:pStyle w:val="Heading2"/>
      </w:pPr>
      <w:r>
        <w:t xml:space="preserve">Data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Creation:</w:t>
      </w:r>
      <w:r>
        <w:t xml:space="preserve"> </w:t>
      </w:r>
      <w:r>
        <w:t xml:space="preserve">Only by authenticated TCA users or via authorized API sync (Blackbaud)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Modification:</w:t>
      </w:r>
      <w:r>
        <w:t xml:space="preserve"> </w:t>
      </w:r>
      <w:r>
        <w:t xml:space="preserve">Only by authenticated TCA users; every change audit-logged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Indefinite while TCA is an active customer; archived after season close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Deletion:</w:t>
      </w:r>
      <w:r>
        <w:t xml:space="preserve"> </w:t>
      </w:r>
      <w:r>
        <w:t xml:space="preserve">TCA can request full data export and/or deletion at any time. Standard turnaround: 30 days. Backups age out within 30 days of deletion.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Off-boarding:</w:t>
      </w:r>
      <w:r>
        <w:t xml:space="preserve"> </w:t>
      </w:r>
      <w:r>
        <w:t xml:space="preserve">If TCA terminates the relationship, all production data is exported in standard formats (CSV/JSON), then deleted within 60 days.</w:t>
      </w:r>
    </w:p>
    <w:bookmarkEnd w:id="12"/>
    <w:bookmarkStart w:id="13" w:name="security-practices"/>
    <w:p>
      <w:pPr>
        <w:pStyle w:val="Heading2"/>
      </w:pPr>
      <w:r>
        <w:t xml:space="preserve">Security practices</w:t>
      </w:r>
    </w:p>
    <w:p>
      <w:pPr>
        <w:pStyle w:val="Compact"/>
        <w:numPr>
          <w:ilvl w:val="0"/>
          <w:numId w:val="1003"/>
        </w:numPr>
      </w:pPr>
      <w:r>
        <w:t xml:space="preserve">Dependencies scanned weekly for CVEs</w:t>
      </w:r>
    </w:p>
    <w:p>
      <w:pPr>
        <w:pStyle w:val="Compact"/>
        <w:numPr>
          <w:ilvl w:val="0"/>
          <w:numId w:val="1003"/>
        </w:numPr>
      </w:pPr>
      <w:r>
        <w:t xml:space="preserve">Code review required before merging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3"/>
        </w:numPr>
      </w:pPr>
      <w:r>
        <w:t xml:space="preserve">Production deploys via CI – no manual SSH to production servers</w:t>
      </w:r>
    </w:p>
    <w:p>
      <w:pPr>
        <w:pStyle w:val="Compact"/>
        <w:numPr>
          <w:ilvl w:val="0"/>
          <w:numId w:val="1003"/>
        </w:numPr>
      </w:pPr>
      <w:r>
        <w:t xml:space="preserve">Secrets rotated on staff turnover or at minimum annually</w:t>
      </w:r>
    </w:p>
    <w:p>
      <w:pPr>
        <w:pStyle w:val="Compact"/>
        <w:numPr>
          <w:ilvl w:val="0"/>
          <w:numId w:val="1003"/>
        </w:numPr>
      </w:pPr>
      <w:r>
        <w:t xml:space="preserve">HTTPS enforced everywhere (HSTS); no HTTP fallback</w:t>
      </w:r>
    </w:p>
    <w:p>
      <w:pPr>
        <w:pStyle w:val="Compact"/>
        <w:numPr>
          <w:ilvl w:val="0"/>
          <w:numId w:val="1003"/>
        </w:numPr>
      </w:pPr>
      <w:r>
        <w:t xml:space="preserve">CSRF protection on all state-changing routes</w:t>
      </w:r>
    </w:p>
    <w:p>
      <w:pPr>
        <w:pStyle w:val="Compact"/>
        <w:numPr>
          <w:ilvl w:val="0"/>
          <w:numId w:val="1003"/>
        </w:numPr>
      </w:pPr>
      <w:r>
        <w:t xml:space="preserve">SQL injection prevented via ORM-only data access (Prisma)</w:t>
      </w:r>
    </w:p>
    <w:bookmarkEnd w:id="13"/>
    <w:bookmarkStart w:id="14" w:name="compliance-notes"/>
    <w:p>
      <w:pPr>
        <w:pStyle w:val="Heading2"/>
      </w:pPr>
      <w:r>
        <w:t xml:space="preserve">Compliance notes</w:t>
      </w:r>
    </w:p>
    <w:p>
      <w:pPr>
        <w:pStyle w:val="Compact"/>
        <w:numPr>
          <w:ilvl w:val="0"/>
          <w:numId w:val="1004"/>
        </w:numPr>
      </w:pPr>
      <w:r>
        <w:t xml:space="preserve">AthleticOS is not currently SOC 2 / FERPA-certified – we’re a small project. We follow the practices above and are prepared to walk through any specific FERPA / state requirement TCA flags.</w:t>
      </w:r>
    </w:p>
    <w:p>
      <w:pPr>
        <w:pStyle w:val="Compact"/>
        <w:numPr>
          <w:ilvl w:val="0"/>
          <w:numId w:val="1004"/>
        </w:numPr>
      </w:pPr>
      <w:r>
        <w:t xml:space="preserve">We will sign a data processing agreement (DPA) if TCA requires one. Draft available on request.</w:t>
      </w:r>
    </w:p>
    <w:p>
      <w:pPr>
        <w:pStyle w:val="Compact"/>
        <w:numPr>
          <w:ilvl w:val="0"/>
          <w:numId w:val="1004"/>
        </w:numPr>
      </w:pPr>
      <w:r>
        <w:t xml:space="preserve">No data shared with any third party except as required to provide the service (Render hosting, Twilio for SMS notifications, SMTP provider for email).</w:t>
      </w:r>
    </w:p>
    <w:bookmarkEnd w:id="14"/>
    <w:bookmarkStart w:id="15" w:name="subprocessors"/>
    <w:p>
      <w:pPr>
        <w:pStyle w:val="Heading2"/>
      </w:pPr>
      <w:r>
        <w:t xml:space="preserve">Subprocessors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Hosting + database</w:t>
            </w:r>
          </w:p>
        </w:tc>
        <w:tc>
          <w:tcPr/>
          <w:p>
            <w:pPr>
              <w:pStyle w:val="Compact"/>
            </w:pPr>
            <w:r>
              <w:t xml:space="preserve">All app data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SMS notifications</w:t>
            </w:r>
          </w:p>
        </w:tc>
        <w:tc>
          <w:tcPr/>
          <w:p>
            <w:pPr>
              <w:pStyle w:val="Compact"/>
            </w:pPr>
            <w:r>
              <w:t xml:space="preserve">Phone numbers + message body of opted-in users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provider (TBD)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Email addresses + message body of opted-in users only</w:t>
            </w:r>
          </w:p>
        </w:tc>
      </w:tr>
    </w:tbl>
    <w:bookmarkEnd w:id="15"/>
    <w:bookmarkStart w:id="16" w:name="open-items-things-i-want-your-input-on"/>
    <w:p>
      <w:pPr>
        <w:pStyle w:val="Heading2"/>
      </w:pPr>
      <w:r>
        <w:t xml:space="preserve">Open items / things I want your input 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Sandbox vs production data</w:t>
      </w:r>
      <w:r>
        <w:t xml:space="preserve"> </w:t>
      </w:r>
      <w:r>
        <w:t xml:space="preserve">– I’d prefer to start integration testing against a sandbox or a small test team if possible. If we go straight at production, I’ll scope to a single sport for the pilot.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domain + SSL</w:t>
      </w:r>
      <w:r>
        <w:t xml:space="preserve"> </w:t>
      </w:r>
      <w:r>
        <w:t xml:space="preserve">– AthleticOS currently runs on</w:t>
      </w:r>
      <w:r>
        <w:t xml:space="preserve"> </w:t>
      </w:r>
      <w:r>
        <w:rPr>
          <w:rStyle w:val="VerbatimChar"/>
        </w:rPr>
        <w:t xml:space="preserve">*.onrender.com</w:t>
      </w:r>
      <w:r>
        <w:t xml:space="preserve">. Happy to set up a TCA-branded subdomain (e.g. </w:t>
      </w:r>
      <w:r>
        <w:rPr>
          <w:rStyle w:val="VerbatimChar"/>
        </w:rPr>
        <w:t xml:space="preserve">athletics.trinitychristian.org</w:t>
      </w:r>
      <w:r>
        <w:t xml:space="preserve">) if that’s preferred.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DPA / FERPA addendum</w:t>
      </w:r>
      <w:r>
        <w:t xml:space="preserve"> </w:t>
      </w:r>
      <w:r>
        <w:t xml:space="preserve">– if your legal team has a standard form, send it over and I’ll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Penetration test / security review</w:t>
      </w:r>
      <w:r>
        <w:t xml:space="preserve"> </w:t>
      </w:r>
      <w:r>
        <w:t xml:space="preserve">– I can commission a third-party scan before TCA goes live if that helps the approval path.</w:t>
      </w:r>
    </w:p>
    <w:p>
      <w:pPr>
        <w:pStyle w:val="FirstParagraph"/>
      </w:pPr>
      <w:r>
        <w:t xml:space="preserve">Burke Autrey – burke@autreymail.com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2026-05-17T11:12:18Z</dcterms:created>
  <dcterms:modified xsi:type="dcterms:W3CDTF">2026-05-17T11:12:18Z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