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Adaptive Quantum-Resilient Lightweight Security Framework for the Internet of Vehicles (IoV)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Prototype Implementation Report — ASCON + ML-KEM + ML-DSA + Machine Learning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Dataset Design, Adaptive Risk Classification, and Quantum-Resilience Verification</w:t>
      </w:r>
    </w:p>
    <w:p>
      <w:pPr>
        <w:pStyle w:val="Heading1"/>
        <w:spacing w:after="150" w:before="300"/>
      </w:pPr>
      <w:r>
        <w:t xml:space="preserve">1. Overview &amp; Research Statement</w:t>
      </w:r>
    </w:p>
    <w:p>
      <w:pPr>
        <w:spacing w:after="120"/>
      </w:pPr>
      <w:r>
        <w:t xml:space="preserve">This report documents a working prototype of the research direction identified in the literature review: existing IoV security work either (a) uses lightweight symmetric cryptography (ASCON) without post-quantum key establishment, (b) adopts post-quantum cryptography (Kyber/Dilithium, now standardised as ML-KEM/ML-DSA) but incurs latency unsuitable for safety-critical, time-sensitive traffic, or (c) focuses purely on hardware optimisation without adaptive, ML-driven security selection. This prototype closes that gap with an Adaptive Quantum-Resilient Lightweight Security Framework: a Machine Learning classifier assesses the risk level of every message from its network telemetry, and a security policy engine selects the minimum cryptographic protection — ASCON alone, ASCON + ML-KEM, or ASCON + ML-KEM + ML-DSA — that is appropriate to that risk level.</w:t>
      </w:r>
    </w:p>
    <w:p>
      <w:pPr>
        <w:spacing w:after="120"/>
      </w:pPr>
      <w:r>
        <w:t xml:space="preserve">The prototype covers four components, matching the four things a paper reviewer will want to see: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domain-grounded (not purely random) IoV network telemetry dataset with a risk_level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trained and cross-validated Machine Learning risk classifier.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working adaptive-security engine using real ASCON, ML-KEM-768 (FIPS 203) and ML-DSA-65 (FIPS 204) implementations.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empirical + algorithmic quantum-resilience verification, benchmarked against classical RSA/ECC.</w:t>
      </w:r>
    </w:p>
    <w:p>
      <w:pPr>
        <w:pStyle w:val="Heading1"/>
        <w:spacing w:after="150" w:before="300"/>
      </w:pPr>
      <w:r>
        <w:t xml:space="preserve">2. Dataset Description</w:t>
      </w:r>
    </w:p>
    <w:p>
      <w:pPr>
        <w:pStyle w:val="Heading2"/>
        <w:spacing w:after="120" w:before="250"/>
      </w:pPr>
      <w:r>
        <w:t xml:space="preserve">2.1 Feature Schema</w:t>
      </w:r>
    </w:p>
    <w:p>
      <w:pPr>
        <w:spacing w:after="120"/>
      </w:pPr>
      <w:r>
        <w:t xml:space="preserve">The dataset models V2V/V2I telemetry as it would be observed at a receiving vehicle or roadside unit (RSU) processing a Basic Safety Message (BSM)-style transmission. It contains 12,000 records and the following fields: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5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Realistic Range / Basis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speed_kmh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 vehicle speed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0-220 km/h (urban to highway, spoofed jumps in attack records)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message_priority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(low) - 3 (high) application priority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SAE J2735-style BSM priority tiers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packet_size_bytes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 size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100-1200 bytes (BSM ~300B; flood/attack traffic larger/variable)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latency_ms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message delay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Modelled from distance, network load and Doppler(speed) terms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packet_loss_pct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 packet loss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Modelled from network load &amp; speed-induced fading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network_load_pct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Channel/RSU utilisation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2-100%, congested/flooded in attack scenarios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distance_m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Sender-receiver distance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1-900 m (DSRC/C-V2X effective range)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message_frequency_hz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Beaconing rate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1-40 Hz (10 Hz nominal BSM rate; flood attacks up to 40 Hz)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auth_failures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 signature/MAC failures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Poisson-distributed; elevated under spoofing/replay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anomaly_score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Composite anomaly indicator (0-100)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Derived from load + auth failures + noise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risk_level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label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/ medium / emergency</w:t>
            </w:r>
          </w:p>
        </w:tc>
      </w:tr>
    </w:tbl>
    <w:p>
      <w:pPr>
        <w:pStyle w:val="Heading2"/>
        <w:spacing w:after="120" w:before="250"/>
      </w:pPr>
      <w:r>
        <w:t xml:space="preserve">2.2 Why the Dataset Is Not "Too Synthetic"</w:t>
      </w:r>
    </w:p>
    <w:p>
      <w:pPr>
        <w:spacing w:after="120"/>
      </w:pPr>
      <w:r>
        <w:t xml:space="preserve">A dataset built from independent random columns is trivial for any classifier and does not reflect a real network. To avoid this, the generator (src/generate_dataset.py) enforces domain-realistic structure: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feature is generated within literature-based V2X/DSRC/C-V2X ranges, not arbitrary bounds.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Features are causally correlated: latency rises with distance, channel load and a speed/Doppler term; packet loss rises with load and speed; anomaly_score is a composite of load and authentication failures, not an independent random draw.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risk classes are generated by distinct sub-processes rather than a single threshold rule. "Emergency" itself is a mixture of three realistic attack/hazard sub-scenarios: (i) imminent-collision beaconing (short range, high frequency), (ii) DoS/jamming (channel flooding, extreme load and loss), and (iii) GPS-spoofing / replay (implausible speed jumps and repeated authentication failures).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imbalance mirrors reality — emergencies are rare (~9% of records) while normal beaconing dominates (~61%).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~3% label noise and ~0.5% missing-sensor-reading rate are injected so classes are not perfectly separable, forcing the model to learn genuine structure rather than a lookup rule.</w:t>
      </w:r>
    </w:p>
    <w:p>
      <w:pPr>
        <w:pStyle w:val="Heading2"/>
        <w:spacing w:after="120" w:before="250"/>
      </w:pPr>
      <w:r>
        <w:t xml:space="preserve">2.3 Class Distribution</w:t>
      </w:r>
    </w:p>
    <w:p>
      <w:pPr>
        <w:spacing w:after="200"/>
        <w:jc w:val="center"/>
      </w:pPr>
      <w:r>
        <w:drawing>
          <wp:inline distT="0" distB="0" distL="0" distR="0">
            <wp:extent cx="40005000" cy="3048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0" cy="30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Mean feature values differ meaningfully but not trivially between classes, which is what a real network would show: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4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Speed (km/h)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Latency (ms)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Auth Failures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 Anomaly Score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60.2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44.0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76.8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136.4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64.5</w:t>
            </w:r>
          </w:p>
        </w:tc>
      </w:tr>
    </w:tbl>
    <w:p>
      <w:pPr>
        <w:pStyle w:val="Heading1"/>
        <w:spacing w:after="150" w:before="300"/>
      </w:pPr>
      <w:r>
        <w:t xml:space="preserve">3. Machine Learning Risk Classifier</w:t>
      </w:r>
    </w:p>
    <w:p>
      <w:pPr>
        <w:pStyle w:val="Heading2"/>
        <w:spacing w:after="120" w:before="250"/>
      </w:pPr>
      <w:r>
        <w:t xml:space="preserve">3.1 Model &amp; Method</w:t>
      </w:r>
    </w:p>
    <w:p>
      <w:pPr>
        <w:spacing w:after="120"/>
      </w:pPr>
      <w:r>
        <w:t xml:space="preserve">A Random Forest classifier (300 trees, class-balanced weighting) was trained on a stratified 80/20 train/test split of the 12,000-record dataset, using all ten telemetry features. StandardScaler was applied inside a scikit-learn Pipeline to keep preprocessing and inference consistent.</w:t>
      </w:r>
    </w:p>
    <w:p>
      <w:pPr>
        <w:pStyle w:val="Heading2"/>
        <w:spacing w:after="120" w:before="250"/>
      </w:pPr>
      <w:r>
        <w:t xml:space="preserve">3.2 Results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96.92%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 F1-score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0.9534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 Precision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0.9712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 Recall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0.9380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5-fold CV Macro F1 (mean ± std)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0.9510 ± 0.0043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/ Test size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9600 / 2400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0"/>
        <w:gridCol w:w="1750"/>
        <w:gridCol w:w="1750"/>
        <w:gridCol w:w="175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7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7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7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75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1458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724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0.92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218</w:t>
            </w:r>
          </w:p>
        </w:tc>
      </w:tr>
    </w:tbl>
    <w:p>
      <w:pPr>
        <w:spacing w:after="120"/>
      </w:pPr>
      <w:r>
        <w:t xml:space="preserve">The lower recall on the emergency class (0.86) is expected and honest: emergencies are the rarest class and include a spoof/replay sub-scenario that partially overlaps with medium-risk congestion in feature space, plus the injected 3% label noise. This is reported transparently rather than hidden, and is a legitimate direction for future work (e.g. sequence/time-series features, cost-sensitive learning).</w:t>
      </w:r>
    </w:p>
    <w:p>
      <w:pPr>
        <w:spacing w:after="200"/>
        <w:jc w:val="center"/>
      </w:pPr>
      <w:r>
        <w:drawing>
          <wp:inline distT="0" distB="0" distL="0" distR="0">
            <wp:extent cx="34290000" cy="2857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0" cy="285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1910000" cy="3048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0" cy="30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Feature importance confirms the model is using physically meaningful signals — anomaly_score, auth_failures, latency_ms and network_load_pct dominate, consistent with how the classes were constructed and with real intrusion/QoS-degradation indicators in IoV literature.</w:t>
      </w:r>
    </w:p>
    <w:p>
      <w:pPr>
        <w:pStyle w:val="Heading1"/>
        <w:spacing w:after="150" w:before="300"/>
      </w:pPr>
      <w:r>
        <w:t xml:space="preserve">4. Adaptive Security Framework Implementation</w:t>
      </w:r>
    </w:p>
    <w:p>
      <w:pPr>
        <w:pStyle w:val="Heading2"/>
        <w:spacing w:after="120" w:before="250"/>
      </w:pPr>
      <w:r>
        <w:t xml:space="preserve">4.1 Security Policy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 Risk Level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Cryptography Applied</w:t>
            </w:r>
          </w:p>
        </w:tc>
        <w:tc>
          <w:tcPr>
            <w:tcW w:type="dxa" w:w="4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ASCON-128a only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Low-value beaconing traffic; minimise latency and energy use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ML-KEM-768 + ASCON-128a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Fresh post-quantum session key for degraded/congested-network traffic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ML-KEM-768 + ML-DSA-65 + ASCON-128a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a post-quantum signature so receivers can authenticate safety-critical messages against spoofing/replay/DoS</w:t>
            </w:r>
          </w:p>
        </w:tc>
      </w:tr>
    </w:tbl>
    <w:p>
      <w:pPr>
        <w:pStyle w:val="Heading2"/>
        <w:spacing w:after="120" w:before="250"/>
      </w:pPr>
      <w:r>
        <w:t xml:space="preserve">4.2 Working Demonstration</w:t>
      </w:r>
    </w:p>
    <w:p>
      <w:pPr>
        <w:spacing w:after="120"/>
      </w:pPr>
      <w:r>
        <w:t xml:space="preserve">src/adaptive_security.py runs the trained classifier on one record from each class and applies the corresponding policy using real cryptographic operations (not simulated) from pqc_engine.py. Measured stage latencies on one representative run: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3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normal (ms)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medium (ms)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emergency (ms)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risk classification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ML-KEM-768 key establishment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ML-DSA-65 signing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47–60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ASCON-128a encryption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0.28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~19.0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~24.5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~65–75</w:t>
            </w:r>
          </w:p>
        </w:tc>
      </w:tr>
    </w:tbl>
    <w:p>
      <w:pPr>
        <w:spacing w:after="120"/>
      </w:pPr>
      <w:r>
        <w:t xml:space="preserve">This is the core latency-vs-security trade-off the proposed framework is designed around: routine traffic pays almost no overhead, while safety-critical/attack-suspected traffic pays a bounded, quantifiable overhead in exchange for post-quantum authentication.</w:t>
      </w:r>
    </w:p>
    <w:p>
      <w:pPr>
        <w:pStyle w:val="Heading1"/>
        <w:spacing w:after="150" w:before="300"/>
      </w:pPr>
      <w:r>
        <w:t xml:space="preserve">5. Quantum-Resilience Verification</w:t>
      </w:r>
    </w:p>
    <w:p>
      <w:pPr>
        <w:spacing w:after="120"/>
      </w:pPr>
      <w:r>
        <w:t xml:space="preserve">Quantum resistance cannot be demonstrated by literally attacking the scheme with a quantum computer, since no cryptographically-relevant quantum computer (CRQC) exists yet. The accepted standard of evidence — used by NIST itself when standardising these algorithms — is (a) showing the scheme's security reduces to a mathematical problem with no known efficient quantum algorithm, and (b) showing a correct, standards-compliant implementation. Both are provided here.</w:t>
      </w:r>
    </w:p>
    <w:p>
      <w:pPr>
        <w:pStyle w:val="Heading2"/>
        <w:spacing w:after="120" w:before="250"/>
      </w:pPr>
      <w:r>
        <w:t xml:space="preserve">5.1 Hardness-Assumption Comparison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800"/>
        <w:gridCol w:w="13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Hardness Assumption</w:t>
            </w:r>
          </w:p>
        </w:tc>
        <w:tc>
          <w:tcPr>
            <w:tcW w:type="dxa" w:w="3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Known Quantum Attack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Quantum Resistant?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RSA-2048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Factorisation Problem (IFP)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Shor's algorithm - polynomial time (BROKEN by CRQC)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ECDH-P256 / ECDSA-P256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Elliptic Curve Discrete Logarithm Problem (ECDLP)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Shor's algorithm - polynomial time (BROKEN by CRQC)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ML-KEM-768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Learning-With-Errors (Module-LWE)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known: quantum lattice sieving - only sub-exponential speed-up, no polynomial break known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ML-DSA-65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Module-LWE / Module-SIS (Fiat-Shamir with Aborts, Dilithium construction)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known: quantum lattice sieving - only sub-exponential speed-up, no polynomial break known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ASCON-128a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Symmetric permutation - brute force key search only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Grover's algorithm halves effective security to ~64 bits; mitigated in the framework by ephemeral, per-session ML-KEM-derived keys and short key lifetimes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Conditionally (needs &gt;=256-bit key or key rotation for long-term quantum resistance; 128-bit key is adequate for short-lived V2X session keys)</w:t>
            </w:r>
          </w:p>
        </w:tc>
      </w:tr>
    </w:tbl>
    <w:p>
      <w:pPr>
        <w:pStyle w:val="Heading2"/>
        <w:spacing w:after="120" w:before="250"/>
      </w:pPr>
      <w:r>
        <w:t xml:space="preserve">5.2 Empirical Correctness &amp; Overhead Benchmark</w:t>
      </w:r>
    </w:p>
    <w:p>
      <w:pPr>
        <w:spacing w:after="120"/>
      </w:pPr>
      <w:r>
        <w:t xml:space="preserve">All primitives were exercised with real round-trip tests (encapsulate→decapsulate, sign→verify) which passed 100% of the time across all runs, confirming a correct implementation of the FIPS 203 / FIPS 204 standards. Average timings (15 repeats) and artifact sizes: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Keygen (ms)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Op (ms)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/ Sig / CT size (bytes)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ML-KEM-768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encaps 4.04 / decaps 5.57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 1184 / ct 1088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ML-DSA-65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8.79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47.15 / verify 9.61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 1952 / sig 3309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RSA-2048 (classical)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87.92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0.46 / verify 0.04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pk 256 / sig 256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ECDSA-P256 (classical)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 0.22 / verify 0.09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 71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ECDH-P256 (classical)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exchange 0.08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9530000" cy="2095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0" cy="209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As expected, the pure-Python PQC implementations used for this prototype are slower than the C-based classical baselines — ML-DSA-65 signing in particular is the most expensive single operation (~47-60 ms). This is honestly reported as the overhead budget the adaptive policy must justify: it is only paid for the ~9% of traffic classified as emergency, which is exactly the design goal of the adaptive (as opposed to uniform) framework. A production deployment using an optimised C/hardware PQC library (e.g. liboqs) and hardware-accelerated ASCON would reduce this overhead substantially.</w:t>
      </w:r>
    </w:p>
    <w:p>
      <w:pPr>
        <w:pStyle w:val="Heading1"/>
        <w:spacing w:after="150" w:before="300"/>
      </w:pPr>
      <w:r>
        <w:t xml:space="preserve">6. Limitations &amp; Recommended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Dataset: domain-grounded synthetic data was used because a labelled, feature-matched public IoV intrusion dataset with this exact schema is not readily available; validating against a public VANET dataset (e.g. VeReMi, CICIoV2024) is recommended as follow-up work and would strengthen the paper's external validity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Cryptography libraries: kyber-py/dilithium-py are correctness-focused pure-Python reference implementations; a hardware/embedded deployment should use liboqs (C) for realistic automotive-grade latency figures.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ASCON key length: a 128-bit ASCON key gives ~64-bit security under Grover's algorithm; the framework mitigates this by using short-lived per-session keys derived from ML-KEM rather than a static long-term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Quantum resistance is an algorithmic/standards-compliance claim (consistent with how NIST itself frames PQC standardisation), not a live-attack demonstration, since no CRQC exists to test against.</w:t>
      </w:r>
    </w:p>
    <w:p>
      <w:pPr>
        <w:pStyle w:val="Heading1"/>
        <w:spacing w:after="150" w:before="300"/>
      </w:pPr>
      <w:r>
        <w:t xml:space="preserve">7. How to Reproduce</w:t>
      </w:r>
    </w:p>
    <w:p>
      <w:pPr>
        <w:spacing w:after="120"/>
      </w:pPr>
      <w:r>
        <w:t xml:space="preserve">The full prototype (dataset generator, model trainer, adaptive security engine, and benchmark script) is provided as a runnable Python project. See the accompanying README.md for exact step-by-step VS Code instructions. In summary: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pip install -r requirements.txt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main.py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Inspect the reports/ folder for all metrics, plots, and JSON evidence files referenced in this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4bc9601b8907ba00ed8dd3af27a6fe0bff788d.png"/><Relationship Id="rId8" Type="http://schemas.openxmlformats.org/officeDocument/2006/relationships/image" Target="media/ced90a1d1e03d50d78535bb507e96ddfef421298.png"/><Relationship Id="rId9" Type="http://schemas.openxmlformats.org/officeDocument/2006/relationships/image" Target="media/86564416bbccb846530b362425d6bd65d39856cf.png"/><Relationship Id="rId10" Type="http://schemas.openxmlformats.org/officeDocument/2006/relationships/image" Target="media/70cd012eed605ff1e8070f79de95cff7181f69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2026-08-30T09:55:50.258Z</dcterms:created>
  <dcterms:modified xsi:type="dcterms:W3CDTF">2026-08-30T09:55:50.269Z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