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Two-column archive note</w:t>
      </w:r>
    </w:p>
    <w:p>
      <w:r>
        <w:t>The map room occupies the quiet end of the neighborhood library. Its shelves hold folded street plans, ferry schedules, and hand-drawn routes collected over several decades. A small brass weight keeps each sheet flat while readers compare editions.</w:t>
      </w:r>
    </w:p>
    <w:p>
      <w:r>
        <w:t>Mara volunteers on Thursday afternoons. She records the paper's date, the names of its surveyors, and any handwritten notes near the margins. When a street changes, she adds a transparent overlay rather than altering the older map.</w:t>
      </w:r>
    </w:p>
    <w:p>
      <w:r>
        <w:br w:type="page"/>
      </w:r>
    </w:p>
    <w:p>
      <w:r>
        <w:t>This paragraph follows the page break and preserves document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two-column reading-order edge case</dc:title>
  <dc:subject>Reproducible document-conversion fixture</dc:subject>
  <dc:creator>AriadShift contributors</dc:creator>
  <cp:keywords/>
  <dc:description>generated by python-docx</dc:description>
  <cp:lastModifiedBy>AriadShift contributors</cp:lastModifiedBy>
  <cp:revision>1</cp:revision>
  <dcterms:created xsi:type="dcterms:W3CDTF">2000-01-01T00:00:00Z</dcterms:created>
  <dcterms:modified xsi:type="dcterms:W3CDTF">2000-01-01T00:00:00Z</dcterms:modified>
  <cp:category/>
</cp:coreProperties>
</file>