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A1A2E"/>
          <w:sz w:val="32"/>
          <w:szCs w:val="32"/>
        </w:rPr>
        <w:t xml:space="preserve">SERVICES AGREEMENT</w:t>
      </w:r>
    </w:p>
    <w:p>
      <w:pPr>
        <w:spacing w:after="100"/>
        <w:jc w:val="center"/>
      </w:pPr>
      <w:r>
        <w:rPr>
          <w:rFonts w:ascii="Arial" w:cs="Arial" w:eastAsia="Arial" w:hAnsi="Arial"/>
          <w:color w:val="888888"/>
          <w:sz w:val="24"/>
          <w:szCs w:val="24"/>
        </w:rPr>
        <w:t xml:space="preserve">Conductor.ng × TechDella</w:t>
      </w:r>
    </w:p>
    <w:p>
      <w:pPr>
        <w:spacing w:after="300"/>
        <w:jc w:val="center"/>
      </w:pPr>
      <w:r>
        <w:rPr>
          <w:rFonts w:ascii="Arial" w:cs="Arial" w:eastAsia="Arial" w:hAnsi="Arial"/>
          <w:color w:val="888888"/>
          <w:sz w:val="20"/>
          <w:szCs w:val="20"/>
        </w:rPr>
        <w:t xml:space="preserve">April 2026</w:t>
      </w:r>
    </w:p>
    <w:p>
      <w:pPr>
        <w:pStyle w:val="Heading1"/>
      </w:pPr>
      <w:r>
        <w:t xml:space="preserve">1. Parties</w:t>
      </w:r>
    </w:p>
    <w:p>
      <w:pPr>
        <w:spacing w:after="160" w:line="276"/>
      </w:pPr>
      <w:r>
        <w:rPr>
          <w:rFonts w:ascii="Arial" w:cs="Arial" w:eastAsia="Arial" w:hAnsi="Arial"/>
          <w:b w:val="false"/>
          <w:bCs w:val="false"/>
          <w:i w:val="false"/>
          <w:iCs w:val="false"/>
          <w:color w:val="333333"/>
          <w:sz w:val="21"/>
          <w:szCs w:val="21"/>
        </w:rPr>
        <w:t xml:space="preserve">This Agreement is entered into between:</w:t>
      </w:r>
    </w:p>
    <w:p>
      <w:pPr>
        <w:spacing w:after="160" w:line="276"/>
      </w:pPr>
      <w:r>
        <w:rPr>
          <w:rFonts w:ascii="Arial" w:cs="Arial" w:eastAsia="Arial" w:hAnsi="Arial"/>
          <w:b w:val="false"/>
          <w:bCs w:val="false"/>
          <w:i w:val="false"/>
          <w:iCs w:val="false"/>
          <w:color w:val="333333"/>
          <w:sz w:val="21"/>
          <w:szCs w:val="21"/>
        </w:rPr>
        <w:t xml:space="preserve">Conductor.ng (hereinafter “The Company” or “Conductor”), a scheduled carpooling platform operating in Lagos, Nigeria.</w:t>
      </w:r>
    </w:p>
    <w:p>
      <w:pPr>
        <w:spacing w:after="160" w:line="276"/>
      </w:pPr>
      <w:r>
        <w:rPr>
          <w:rFonts w:ascii="Arial" w:cs="Arial" w:eastAsia="Arial" w:hAnsi="Arial"/>
          <w:b w:val="false"/>
          <w:bCs w:val="false"/>
          <w:i w:val="false"/>
          <w:iCs w:val="false"/>
          <w:color w:val="333333"/>
          <w:sz w:val="21"/>
          <w:szCs w:val="21"/>
        </w:rPr>
        <w:t xml:space="preserve">TechDella (hereinafter “The Agency” or “TechDella”), a startup marketing agency providing CMO-as-a-Service, digital marketing, and growth partnership services.</w:t>
      </w:r>
    </w:p>
    <w:p>
      <w:pPr>
        <w:spacing w:after="160" w:line="276"/>
      </w:pPr>
      <w:r>
        <w:rPr>
          <w:rFonts w:ascii="Arial" w:cs="Arial" w:eastAsia="Arial" w:hAnsi="Arial"/>
          <w:b w:val="false"/>
          <w:bCs w:val="false"/>
          <w:i w:val="false"/>
          <w:iCs w:val="false"/>
          <w:color w:val="333333"/>
          <w:sz w:val="21"/>
          <w:szCs w:val="21"/>
        </w:rPr>
        <w:t xml:space="preserve">Collectively referred to as “the Parties.”</w:t>
      </w:r>
    </w:p>
    <w:p>
      <w:pPr>
        <w:pStyle w:val="Heading1"/>
      </w:pPr>
      <w:r>
        <w:t xml:space="preserve">2. Nature of Engagement</w:t>
      </w:r>
    </w:p>
    <w:p>
      <w:pPr>
        <w:spacing w:after="160" w:line="276"/>
      </w:pPr>
      <w:r>
        <w:rPr>
          <w:rFonts w:ascii="Arial" w:cs="Arial" w:eastAsia="Arial" w:hAnsi="Arial"/>
          <w:b w:val="false"/>
          <w:bCs w:val="false"/>
          <w:i w:val="false"/>
          <w:iCs w:val="false"/>
          <w:color w:val="333333"/>
          <w:sz w:val="21"/>
          <w:szCs w:val="21"/>
        </w:rPr>
        <w:t xml:space="preserve">The Company engages the Agency as its external growth partner and CMO-as-a-Service provider. The Agency shall function as an extension of the Company’s team, providing strategic marketing leadership and hands-on campaign execution. This is not a vendor relationship. The Agency is expected to act in the Company’s best interest at all times, proactively identify opportunities and problems, and treat the Company’s growth as its own.</w:t>
      </w:r>
    </w:p>
    <w:p>
      <w:pPr>
        <w:pStyle w:val="Heading1"/>
      </w:pPr>
      <w:r>
        <w:t xml:space="preserve">3. Scope of Services</w:t>
      </w:r>
    </w:p>
    <w:p>
      <w:pPr>
        <w:pStyle w:val="Heading2"/>
      </w:pPr>
      <w:r>
        <w:t xml:space="preserve">3.1 CMO-as-a-Service — Full Marketing Function</w:t>
      </w:r>
    </w:p>
    <w:p>
      <w:pPr>
        <w:spacing w:after="160" w:line="276"/>
      </w:pPr>
      <w:r>
        <w:rPr>
          <w:rFonts w:ascii="Arial" w:cs="Arial" w:eastAsia="Arial" w:hAnsi="Arial"/>
          <w:b w:val="false"/>
          <w:bCs w:val="false"/>
          <w:i w:val="false"/>
          <w:iCs w:val="false"/>
          <w:color w:val="333333"/>
          <w:sz w:val="21"/>
          <w:szCs w:val="21"/>
        </w:rPr>
        <w:t xml:space="preserve">The Agency is engaged as the Company’s CMO-as-a-Service provider. This means the Agency is responsible for the full scope of the Company’s marketing function — everything a Chief Marketing Officer and their in-house marketing department would own, plan, execute, and be accountable for. The Agency shall act as Conductor’s marketing department in all respects.</w:t>
      </w:r>
    </w:p>
    <w:p>
      <w:pPr>
        <w:spacing w:after="160" w:line="276"/>
      </w:pPr>
      <w:r>
        <w:rPr>
          <w:rFonts w:ascii="Arial" w:cs="Arial" w:eastAsia="Arial" w:hAnsi="Arial"/>
          <w:b w:val="false"/>
          <w:bCs w:val="false"/>
          <w:i w:val="false"/>
          <w:iCs w:val="false"/>
          <w:color w:val="333333"/>
          <w:sz w:val="21"/>
          <w:szCs w:val="21"/>
        </w:rPr>
        <w:t xml:space="preserve">This includes, without limitation:</w:t>
      </w:r>
    </w:p>
    <w:p>
      <w:pPr>
        <w:pStyle w:val="ListParagraph"/>
        <w:numPr>
          <w:ilvl w:val="0"/>
          <w:numId w:val="2"/>
        </w:numPr>
        <w:spacing w:after="80" w:line="276"/>
      </w:pPr>
      <w:r>
        <w:rPr>
          <w:rFonts w:ascii="Arial" w:cs="Arial" w:eastAsia="Arial" w:hAnsi="Arial"/>
          <w:color w:val="333333"/>
          <w:sz w:val="21"/>
          <w:szCs w:val="21"/>
        </w:rPr>
        <w:t xml:space="preserve">Marketing strategy, planning, and ongoing refinement</w:t>
      </w:r>
    </w:p>
    <w:p>
      <w:pPr>
        <w:pStyle w:val="ListParagraph"/>
        <w:numPr>
          <w:ilvl w:val="0"/>
          <w:numId w:val="2"/>
        </w:numPr>
        <w:spacing w:after="80" w:line="276"/>
      </w:pPr>
      <w:r>
        <w:rPr>
          <w:rFonts w:ascii="Arial" w:cs="Arial" w:eastAsia="Arial" w:hAnsi="Arial"/>
          <w:color w:val="333333"/>
          <w:sz w:val="21"/>
          <w:szCs w:val="21"/>
        </w:rPr>
        <w:t xml:space="preserve">Campaign planning, phasing, budget allocation, and execution across all channels</w:t>
      </w:r>
    </w:p>
    <w:p>
      <w:pPr>
        <w:pStyle w:val="ListParagraph"/>
        <w:numPr>
          <w:ilvl w:val="0"/>
          <w:numId w:val="2"/>
        </w:numPr>
        <w:spacing w:after="80" w:line="276"/>
      </w:pPr>
      <w:r>
        <w:rPr>
          <w:rFonts w:ascii="Arial" w:cs="Arial" w:eastAsia="Arial" w:hAnsi="Arial"/>
          <w:color w:val="333333"/>
          <w:sz w:val="21"/>
          <w:szCs w:val="21"/>
        </w:rPr>
        <w:t xml:space="preserve">Content creation and production across all formats — UGC video, animated video, static graphics, carousel posts, copywriting, social media content, and any other format required. All content creation is included in the Agency fee with no additional billing.</w:t>
      </w:r>
    </w:p>
    <w:p>
      <w:pPr>
        <w:pStyle w:val="ListParagraph"/>
        <w:numPr>
          <w:ilvl w:val="0"/>
          <w:numId w:val="2"/>
        </w:numPr>
        <w:spacing w:after="80" w:line="276"/>
      </w:pPr>
      <w:r>
        <w:rPr>
          <w:rFonts w:ascii="Arial" w:cs="Arial" w:eastAsia="Arial" w:hAnsi="Arial"/>
          <w:color w:val="333333"/>
          <w:sz w:val="21"/>
          <w:szCs w:val="21"/>
        </w:rPr>
        <w:t xml:space="preserve">Paid campaign management across Meta, TikTok, YouTube, Google, and any other platforms the Parties agree to use</w:t>
      </w:r>
    </w:p>
    <w:p>
      <w:pPr>
        <w:pStyle w:val="ListParagraph"/>
        <w:numPr>
          <w:ilvl w:val="0"/>
          <w:numId w:val="2"/>
        </w:numPr>
        <w:spacing w:after="80" w:line="276"/>
      </w:pPr>
      <w:r>
        <w:rPr>
          <w:rFonts w:ascii="Arial" w:cs="Arial" w:eastAsia="Arial" w:hAnsi="Arial"/>
          <w:color w:val="333333"/>
          <w:sz w:val="21"/>
          <w:szCs w:val="21"/>
        </w:rPr>
        <w:t xml:space="preserve">Organic marketing — social media management, community building, WhatsApp broadcasts, Twitter/X engagement, LinkedIn content</w:t>
      </w:r>
    </w:p>
    <w:p>
      <w:pPr>
        <w:pStyle w:val="ListParagraph"/>
        <w:numPr>
          <w:ilvl w:val="0"/>
          <w:numId w:val="2"/>
        </w:numPr>
        <w:spacing w:after="80" w:line="276"/>
      </w:pPr>
      <w:r>
        <w:rPr>
          <w:rFonts w:ascii="Arial" w:cs="Arial" w:eastAsia="Arial" w:hAnsi="Arial"/>
          <w:color w:val="333333"/>
          <w:sz w:val="21"/>
          <w:szCs w:val="21"/>
        </w:rPr>
        <w:t xml:space="preserve">Influencer strategy, identification, briefing, and management coordination</w:t>
      </w:r>
    </w:p>
    <w:p>
      <w:pPr>
        <w:pStyle w:val="ListParagraph"/>
        <w:numPr>
          <w:ilvl w:val="0"/>
          <w:numId w:val="2"/>
        </w:numPr>
        <w:spacing w:after="80" w:line="276"/>
      </w:pPr>
      <w:r>
        <w:rPr>
          <w:rFonts w:ascii="Arial" w:cs="Arial" w:eastAsia="Arial" w:hAnsi="Arial"/>
          <w:color w:val="333333"/>
          <w:sz w:val="21"/>
          <w:szCs w:val="21"/>
        </w:rPr>
        <w:t xml:space="preserve">PR strategy, media pitching, press release coordination, and founder/brand narrative development</w:t>
      </w:r>
    </w:p>
    <w:p>
      <w:pPr>
        <w:pStyle w:val="ListParagraph"/>
        <w:numPr>
          <w:ilvl w:val="0"/>
          <w:numId w:val="2"/>
        </w:numPr>
        <w:spacing w:after="80" w:line="276"/>
      </w:pPr>
      <w:r>
        <w:rPr>
          <w:rFonts w:ascii="Arial" w:cs="Arial" w:eastAsia="Arial" w:hAnsi="Arial"/>
          <w:color w:val="333333"/>
          <w:sz w:val="21"/>
          <w:szCs w:val="21"/>
        </w:rPr>
        <w:t xml:space="preserve">Brand positioning, messaging consistency, and tone-of-voice guardianship</w:t>
      </w:r>
    </w:p>
    <w:p>
      <w:pPr>
        <w:pStyle w:val="ListParagraph"/>
        <w:numPr>
          <w:ilvl w:val="0"/>
          <w:numId w:val="2"/>
        </w:numPr>
        <w:spacing w:after="80" w:line="276"/>
      </w:pPr>
      <w:r>
        <w:rPr>
          <w:rFonts w:ascii="Arial" w:cs="Arial" w:eastAsia="Arial" w:hAnsi="Arial"/>
          <w:color w:val="333333"/>
          <w:sz w:val="21"/>
          <w:szCs w:val="21"/>
        </w:rPr>
        <w:t xml:space="preserve">Competitive monitoring and market intelligence</w:t>
      </w:r>
    </w:p>
    <w:p>
      <w:pPr>
        <w:pStyle w:val="ListParagraph"/>
        <w:numPr>
          <w:ilvl w:val="0"/>
          <w:numId w:val="2"/>
        </w:numPr>
        <w:spacing w:after="80" w:line="276"/>
      </w:pPr>
      <w:r>
        <w:rPr>
          <w:rFonts w:ascii="Arial" w:cs="Arial" w:eastAsia="Arial" w:hAnsi="Arial"/>
          <w:color w:val="333333"/>
          <w:sz w:val="21"/>
          <w:szCs w:val="21"/>
        </w:rPr>
        <w:t xml:space="preserve">Corridor prioritisation and geo-targeted campaign design</w:t>
      </w:r>
    </w:p>
    <w:p>
      <w:pPr>
        <w:pStyle w:val="ListParagraph"/>
        <w:numPr>
          <w:ilvl w:val="0"/>
          <w:numId w:val="2"/>
        </w:numPr>
        <w:spacing w:after="80" w:line="276"/>
      </w:pPr>
      <w:r>
        <w:rPr>
          <w:rFonts w:ascii="Arial" w:cs="Arial" w:eastAsia="Arial" w:hAnsi="Arial"/>
          <w:color w:val="333333"/>
          <w:sz w:val="21"/>
          <w:szCs w:val="21"/>
        </w:rPr>
        <w:t xml:space="preserve">App Store optimisation for both driver and passenger apps</w:t>
      </w:r>
    </w:p>
    <w:p>
      <w:pPr>
        <w:pStyle w:val="ListParagraph"/>
        <w:numPr>
          <w:ilvl w:val="0"/>
          <w:numId w:val="2"/>
        </w:numPr>
        <w:spacing w:after="80" w:line="276"/>
      </w:pPr>
      <w:r>
        <w:rPr>
          <w:rFonts w:ascii="Arial" w:cs="Arial" w:eastAsia="Arial" w:hAnsi="Arial"/>
          <w:color w:val="333333"/>
          <w:sz w:val="21"/>
          <w:szCs w:val="21"/>
        </w:rPr>
        <w:t xml:space="preserve">Website audit, optimisation, and ongoing recommendations</w:t>
      </w:r>
    </w:p>
    <w:p>
      <w:pPr>
        <w:pStyle w:val="ListParagraph"/>
        <w:numPr>
          <w:ilvl w:val="0"/>
          <w:numId w:val="2"/>
        </w:numPr>
        <w:spacing w:after="80" w:line="276"/>
      </w:pPr>
      <w:r>
        <w:rPr>
          <w:rFonts w:ascii="Arial" w:cs="Arial" w:eastAsia="Arial" w:hAnsi="Arial"/>
          <w:color w:val="333333"/>
          <w:sz w:val="21"/>
          <w:szCs w:val="21"/>
        </w:rPr>
        <w:t xml:space="preserve">Product feedback based on campaign data, funnel observations, and user behaviour</w:t>
      </w:r>
    </w:p>
    <w:p>
      <w:pPr>
        <w:pStyle w:val="ListParagraph"/>
        <w:numPr>
          <w:ilvl w:val="0"/>
          <w:numId w:val="2"/>
        </w:numPr>
        <w:spacing w:after="80" w:line="276"/>
      </w:pPr>
      <w:r>
        <w:rPr>
          <w:rFonts w:ascii="Arial" w:cs="Arial" w:eastAsia="Arial" w:hAnsi="Arial"/>
          <w:color w:val="333333"/>
          <w:sz w:val="21"/>
          <w:szCs w:val="21"/>
        </w:rPr>
        <w:t xml:space="preserve">Event tracking recommendations and analytics interpretation</w:t>
      </w:r>
    </w:p>
    <w:p>
      <w:pPr>
        <w:pStyle w:val="ListParagraph"/>
        <w:numPr>
          <w:ilvl w:val="0"/>
          <w:numId w:val="2"/>
        </w:numPr>
        <w:spacing w:after="80" w:line="276"/>
      </w:pPr>
      <w:r>
        <w:rPr>
          <w:rFonts w:ascii="Arial" w:cs="Arial" w:eastAsia="Arial" w:hAnsi="Arial"/>
          <w:color w:val="333333"/>
          <w:sz w:val="21"/>
          <w:szCs w:val="21"/>
        </w:rPr>
        <w:t xml:space="preserve">Go-to-market strategy for new corridors, features, or product launches</w:t>
      </w:r>
    </w:p>
    <w:p>
      <w:pPr>
        <w:pStyle w:val="ListParagraph"/>
        <w:numPr>
          <w:ilvl w:val="0"/>
          <w:numId w:val="2"/>
        </w:numPr>
        <w:spacing w:after="80" w:line="276"/>
      </w:pPr>
      <w:r>
        <w:rPr>
          <w:rFonts w:ascii="Arial" w:cs="Arial" w:eastAsia="Arial" w:hAnsi="Arial"/>
          <w:color w:val="333333"/>
          <w:sz w:val="21"/>
          <w:szCs w:val="21"/>
        </w:rPr>
        <w:t xml:space="preserve">B2B marketing support including corporate partnership outreach and employer-focused campaigns</w:t>
      </w:r>
    </w:p>
    <w:p>
      <w:pPr>
        <w:pStyle w:val="ListParagraph"/>
        <w:numPr>
          <w:ilvl w:val="0"/>
          <w:numId w:val="2"/>
        </w:numPr>
        <w:spacing w:after="80" w:line="276"/>
      </w:pPr>
      <w:r>
        <w:rPr>
          <w:rFonts w:ascii="Arial" w:cs="Arial" w:eastAsia="Arial" w:hAnsi="Arial"/>
          <w:color w:val="333333"/>
          <w:sz w:val="21"/>
          <w:szCs w:val="21"/>
        </w:rPr>
        <w:t xml:space="preserve">Investor narrative support and marketing proof points as needed</w:t>
      </w:r>
    </w:p>
    <w:p>
      <w:pPr>
        <w:pStyle w:val="ListParagraph"/>
        <w:numPr>
          <w:ilvl w:val="0"/>
          <w:numId w:val="2"/>
        </w:numPr>
        <w:spacing w:after="80" w:line="276"/>
      </w:pPr>
      <w:r>
        <w:rPr>
          <w:rFonts w:ascii="Arial" w:cs="Arial" w:eastAsia="Arial" w:hAnsi="Arial"/>
          <w:color w:val="333333"/>
          <w:sz w:val="21"/>
          <w:szCs w:val="21"/>
        </w:rPr>
        <w:t xml:space="preserve">Attendance at Company-organised events, user research sessions, and activations</w:t>
      </w:r>
    </w:p>
    <w:p>
      <w:pPr>
        <w:pStyle w:val="ListParagraph"/>
        <w:numPr>
          <w:ilvl w:val="0"/>
          <w:numId w:val="2"/>
        </w:numPr>
        <w:spacing w:after="80" w:line="276"/>
      </w:pPr>
      <w:r>
        <w:rPr>
          <w:rFonts w:ascii="Arial" w:cs="Arial" w:eastAsia="Arial" w:hAnsi="Arial"/>
          <w:color w:val="333333"/>
          <w:sz w:val="21"/>
          <w:szCs w:val="21"/>
        </w:rPr>
        <w:t xml:space="preserve">Any other marketing activity that a Chief Marketing Officer would reasonably be expected to own or direct</w:t>
      </w:r>
    </w:p>
    <w:p>
      <w:pPr>
        <w:spacing w:after="120"/>
      </w:pPr>
    </w:p>
    <w:p>
      <w:pPr>
        <w:spacing w:after="160" w:line="276"/>
      </w:pPr>
      <w:r>
        <w:rPr>
          <w:rFonts w:ascii="Arial" w:cs="Arial" w:eastAsia="Arial" w:hAnsi="Arial"/>
          <w:b w:val="false"/>
          <w:bCs w:val="false"/>
          <w:i w:val="false"/>
          <w:iCs w:val="false"/>
          <w:color w:val="333333"/>
          <w:sz w:val="21"/>
          <w:szCs w:val="21"/>
        </w:rPr>
        <w:t xml:space="preserve">The above list is illustrative, not exhaustive. If a marketing need arises that is not explicitly listed but falls within the scope of what a CMO and marketing department would handle, it is within the Agency’s scope. The Agency shall not refuse a reasonable marketing request on the grounds that it was not listed in this Agreement.</w:t>
      </w:r>
    </w:p>
    <w:p>
      <w:pPr>
        <w:spacing w:after="120"/>
      </w:pPr>
    </w:p>
    <w:p>
      <w:pPr>
        <w:pStyle w:val="Heading2"/>
      </w:pPr>
      <w:r>
        <w:t xml:space="preserve">3.2 Content Volume</w:t>
      </w:r>
    </w:p>
    <w:p>
      <w:pPr>
        <w:spacing w:after="160" w:line="276"/>
      </w:pPr>
      <w:r>
        <w:rPr>
          <w:rFonts w:ascii="Arial" w:cs="Arial" w:eastAsia="Arial" w:hAnsi="Arial"/>
          <w:b w:val="false"/>
          <w:bCs w:val="false"/>
          <w:i w:val="false"/>
          <w:iCs w:val="false"/>
          <w:color w:val="333333"/>
          <w:sz w:val="21"/>
          <w:szCs w:val="21"/>
        </w:rPr>
        <w:t xml:space="preserve">The Agency shall produce a minimum of 60 to 80 pieces of content per month across all formats during the initial engagement at $3,000 monthly ad spend. Content volume scales proportionally with marketplace activity and ad spend as described in Section 5.3.</w:t>
      </w:r>
    </w:p>
    <w:p>
      <w:pPr>
        <w:spacing w:after="120"/>
      </w:pPr>
    </w:p>
    <w:p>
      <w:pPr>
        <w:pStyle w:val="Heading2"/>
      </w:pPr>
      <w:r>
        <w:t xml:space="preserve">3.3 Reporting Requirements</w:t>
      </w:r>
    </w:p>
    <w:p>
      <w:pPr>
        <w:pStyle w:val="ListParagraph"/>
        <w:numPr>
          <w:ilvl w:val="0"/>
          <w:numId w:val="2"/>
        </w:numPr>
        <w:spacing w:after="80" w:line="276"/>
      </w:pPr>
      <w:r>
        <w:rPr>
          <w:rFonts w:ascii="Arial" w:cs="Arial" w:eastAsia="Arial" w:hAnsi="Arial"/>
          <w:color w:val="333333"/>
          <w:sz w:val="21"/>
          <w:szCs w:val="21"/>
        </w:rPr>
        <w:t xml:space="preserve">Daily performance report delivered by 9:00am every weekday, covering installs by app and by channel, CPI per app per channel, registration rate, and anomaly flags</w:t>
      </w:r>
    </w:p>
    <w:p>
      <w:pPr>
        <w:pStyle w:val="ListParagraph"/>
        <w:numPr>
          <w:ilvl w:val="0"/>
          <w:numId w:val="2"/>
        </w:numPr>
        <w:spacing w:after="80" w:line="276"/>
      </w:pPr>
      <w:r>
        <w:rPr>
          <w:rFonts w:ascii="Arial" w:cs="Arial" w:eastAsia="Arial" w:hAnsi="Arial"/>
          <w:color w:val="333333"/>
          <w:sz w:val="21"/>
          <w:szCs w:val="21"/>
        </w:rPr>
        <w:t xml:space="preserve">Weekly performance report delivered by Monday morning, covering cumulative installs, CPI trends, registration conversion, funnel observations, creative performance, and recommendations for the following week</w:t>
      </w:r>
    </w:p>
    <w:p>
      <w:pPr>
        <w:pStyle w:val="ListParagraph"/>
        <w:numPr>
          <w:ilvl w:val="0"/>
          <w:numId w:val="2"/>
        </w:numPr>
        <w:spacing w:after="80" w:line="276"/>
      </w:pPr>
      <w:r>
        <w:rPr>
          <w:rFonts w:ascii="Arial" w:cs="Arial" w:eastAsia="Arial" w:hAnsi="Arial"/>
          <w:color w:val="333333"/>
          <w:sz w:val="21"/>
          <w:szCs w:val="21"/>
        </w:rPr>
        <w:t xml:space="preserve">Anomaly escalation: any CPI spike above ₦300 for the driver app or above ₦250 for the passenger app, or any registration rate drop below 30% for either app, must be flagged within 24 hours</w:t>
      </w:r>
    </w:p>
    <w:p>
      <w:pPr>
        <w:spacing w:after="120"/>
      </w:pPr>
    </w:p>
    <w:p>
      <w:pPr>
        <w:pStyle w:val="Heading2"/>
      </w:pPr>
      <w:r>
        <w:t xml:space="preserve">3.4 Exclusions</w:t>
      </w:r>
    </w:p>
    <w:p>
      <w:pPr>
        <w:spacing w:after="160" w:line="276"/>
      </w:pPr>
      <w:r>
        <w:rPr>
          <w:rFonts w:ascii="Arial" w:cs="Arial" w:eastAsia="Arial" w:hAnsi="Arial"/>
          <w:b w:val="false"/>
          <w:bCs w:val="false"/>
          <w:i w:val="false"/>
          <w:iCs w:val="false"/>
          <w:color w:val="333333"/>
          <w:sz w:val="21"/>
          <w:szCs w:val="21"/>
        </w:rPr>
        <w:t xml:space="preserve">The following are explicitly outside the Agency’s scope: product development and engineering, legal and regulatory compliance, financial management and accounting, customer support operations, and any function that is not a marketing function. Requests in these areas do not fall under this Agreement.</w:t>
      </w:r>
    </w:p>
    <w:p>
      <w:pPr>
        <w:pStyle w:val="Heading1"/>
      </w:pPr>
      <w:r>
        <w:t xml:space="preserve">4. Advertising Spend</w:t>
      </w:r>
    </w:p>
    <w:p>
      <w:pPr>
        <w:pStyle w:val="Heading2"/>
      </w:pPr>
      <w:r>
        <w:t xml:space="preserve">4.1 Initial Monthly Budget</w:t>
      </w:r>
    </w:p>
    <w:p>
      <w:pPr>
        <w:spacing w:after="160" w:line="276"/>
      </w:pPr>
      <w:r>
        <w:rPr>
          <w:rFonts w:ascii="Arial" w:cs="Arial" w:eastAsia="Arial" w:hAnsi="Arial"/>
          <w:b w:val="false"/>
          <w:bCs w:val="false"/>
          <w:i w:val="false"/>
          <w:iCs w:val="false"/>
          <w:color w:val="333333"/>
          <w:sz w:val="21"/>
          <w:szCs w:val="21"/>
        </w:rPr>
        <w:t xml:space="preserve">The Company shall provide an initial monthly advertising budget of $3,000 USD for platform ad placement. This budget is denominated in US Dollars. The Naira equivalent shall be calculated at the prevailing exchange rate at the time of each platform payment. The Company bears the exchange rate risk. The Agency’s responsibility is to manage the agreed USD amount in platform spend regardless of Naira fluctuations.</w:t>
      </w:r>
    </w:p>
    <w:p>
      <w:pPr>
        <w:spacing w:after="160" w:line="276"/>
      </w:pPr>
      <w:r>
        <w:rPr>
          <w:rFonts w:ascii="Arial" w:cs="Arial" w:eastAsia="Arial" w:hAnsi="Arial"/>
          <w:b w:val="false"/>
          <w:bCs w:val="false"/>
          <w:i w:val="false"/>
          <w:iCs w:val="false"/>
          <w:color w:val="333333"/>
          <w:sz w:val="21"/>
          <w:szCs w:val="21"/>
        </w:rPr>
        <w:t xml:space="preserve">This advertising budget is entirely separate from the Agency’s fee and goes 100% toward ad placement on Meta, TikTok, YouTube, and any other platforms agreed between the Parties. The Agency does not receive any percentage of the advertising spend.</w:t>
      </w:r>
    </w:p>
    <w:p>
      <w:pPr>
        <w:spacing w:after="120"/>
      </w:pPr>
    </w:p>
    <w:p>
      <w:pPr>
        <w:pStyle w:val="Heading2"/>
      </w:pPr>
      <w:r>
        <w:t xml:space="preserve">4.2 Ad Spend Increases</w:t>
      </w:r>
    </w:p>
    <w:p>
      <w:pPr>
        <w:spacing w:after="160" w:line="276"/>
      </w:pPr>
      <w:r>
        <w:rPr>
          <w:rFonts w:ascii="Arial" w:cs="Arial" w:eastAsia="Arial" w:hAnsi="Arial"/>
          <w:b w:val="false"/>
          <w:bCs w:val="false"/>
          <w:i w:val="false"/>
          <w:iCs w:val="false"/>
          <w:color w:val="333333"/>
          <w:sz w:val="21"/>
          <w:szCs w:val="21"/>
        </w:rPr>
        <w:t xml:space="preserve">The Company may increase the monthly advertising budget at any time to meet market demands, expand to new corridors, or accelerate growth. The Company shall provide the Agency with at least 2 weeks written notice of any increase.</w:t>
      </w:r>
    </w:p>
    <w:p>
      <w:pPr>
        <w:spacing w:after="160" w:line="276"/>
      </w:pPr>
      <w:r>
        <w:rPr>
          <w:rFonts w:ascii="Arial" w:cs="Arial" w:eastAsia="Arial" w:hAnsi="Arial"/>
          <w:b w:val="false"/>
          <w:bCs w:val="false"/>
          <w:i w:val="false"/>
          <w:iCs w:val="false"/>
          <w:color w:val="333333"/>
          <w:sz w:val="21"/>
          <w:szCs w:val="21"/>
        </w:rPr>
        <w:t xml:space="preserve">The Agency is expected to manage the increased budget with the same precision, daily reporting, optimisation, and creative production quality as the initial $3,000 budget. No additional Base Retainer is required for increased ad spend, as the Performance-Linked Retainer (Section 5.2) already adjusts to reflect the increased marketplace activity that additional spend produces, and the scaling expectations in Section 5.3 apply.</w:t>
      </w:r>
    </w:p>
    <w:p>
      <w:pPr>
        <w:spacing w:after="160" w:line="276"/>
      </w:pPr>
      <w:r>
        <w:rPr>
          <w:rFonts w:ascii="Arial" w:cs="Arial" w:eastAsia="Arial" w:hAnsi="Arial"/>
          <w:b w:val="false"/>
          <w:bCs w:val="false"/>
          <w:i w:val="false"/>
          <w:iCs w:val="false"/>
          <w:color w:val="333333"/>
          <w:sz w:val="21"/>
          <w:szCs w:val="21"/>
        </w:rPr>
        <w:t xml:space="preserve">The Agency confirms it has the capacity to manage ad spend up to $12,000 USD per month within the term of this Agreement. If the Company wishes to increase spend beyond $12,000 per month, the Parties shall discuss capacity and any necessary adjustments to the engagement structure.</w:t>
      </w:r>
    </w:p>
    <w:p>
      <w:pPr>
        <w:spacing w:after="120"/>
      </w:pPr>
    </w:p>
    <w:p>
      <w:pPr>
        <w:pStyle w:val="Heading2"/>
      </w:pPr>
      <w:r>
        <w:t xml:space="preserve">4.2 Influencer Spend</w:t>
      </w:r>
    </w:p>
    <w:p>
      <w:pPr>
        <w:spacing w:after="160" w:line="276"/>
      </w:pPr>
      <w:r>
        <w:rPr>
          <w:rFonts w:ascii="Arial" w:cs="Arial" w:eastAsia="Arial" w:hAnsi="Arial"/>
          <w:b w:val="false"/>
          <w:bCs w:val="false"/>
          <w:i w:val="false"/>
          <w:iCs w:val="false"/>
          <w:color w:val="333333"/>
          <w:sz w:val="21"/>
          <w:szCs w:val="21"/>
        </w:rPr>
        <w:t xml:space="preserve">Influencer engagement fees may be allocated from the monthly advertising budget by mutual agreement. The Agency shall propose influencer partnerships with cost estimates for the Company’s approval before any influencer spend is committed.</w:t>
      </w:r>
    </w:p>
    <w:p>
      <w:pPr>
        <w:spacing w:after="160" w:line="276"/>
      </w:pPr>
      <w:r>
        <w:rPr>
          <w:rFonts w:ascii="Arial" w:cs="Arial" w:eastAsia="Arial" w:hAnsi="Arial"/>
          <w:b w:val="false"/>
          <w:bCs w:val="false"/>
          <w:i w:val="false"/>
          <w:iCs w:val="false"/>
          <w:color w:val="333333"/>
          <w:sz w:val="21"/>
          <w:szCs w:val="21"/>
        </w:rPr>
        <w:t xml:space="preserve">Influencer spend shall not exceed 20% of the monthly advertising budget without prior written approval from the Company. At the current $3,000 monthly budget, this cap is $600 USD. The Agency shall track and report influencer spend separately from platform ad spend in the weekly report.</w:t>
      </w:r>
    </w:p>
    <w:p>
      <w:pPr>
        <w:spacing w:after="120"/>
      </w:pPr>
    </w:p>
    <w:p>
      <w:pPr>
        <w:pStyle w:val="Heading2"/>
      </w:pPr>
      <w:r>
        <w:t xml:space="preserve">4.3 Platform Ad Account Security</w:t>
      </w:r>
    </w:p>
    <w:p>
      <w:pPr>
        <w:spacing w:after="160" w:line="276"/>
      </w:pPr>
      <w:r>
        <w:rPr>
          <w:rFonts w:ascii="Arial" w:cs="Arial" w:eastAsia="Arial" w:hAnsi="Arial"/>
          <w:b w:val="false"/>
          <w:bCs w:val="false"/>
          <w:i w:val="false"/>
          <w:iCs w:val="false"/>
          <w:color w:val="333333"/>
          <w:sz w:val="21"/>
          <w:szCs w:val="21"/>
        </w:rPr>
        <w:t xml:space="preserve">All ad accounts used for this engagement shall be created in the Company’s name. The Agency is granted operational access for the duration of the engagement.</w:t>
      </w:r>
    </w:p>
    <w:p>
      <w:pPr>
        <w:spacing w:after="160" w:line="276"/>
      </w:pPr>
      <w:r>
        <w:rPr>
          <w:rFonts w:ascii="Arial" w:cs="Arial" w:eastAsia="Arial" w:hAnsi="Arial"/>
          <w:b w:val="false"/>
          <w:bCs w:val="false"/>
          <w:i w:val="false"/>
          <w:iCs w:val="false"/>
          <w:color w:val="333333"/>
          <w:sz w:val="21"/>
          <w:szCs w:val="21"/>
        </w:rPr>
        <w:t xml:space="preserve">The Agency shall maintain a documented list of all personnel who have access to the Company’s ad accounts, social media accounts, analytics platforms, and any other Company systems. This list shall be shared with the Company upon request.</w:t>
      </w:r>
    </w:p>
    <w:p>
      <w:pPr>
        <w:spacing w:after="160" w:line="276"/>
      </w:pPr>
      <w:r>
        <w:rPr>
          <w:rFonts w:ascii="Arial" w:cs="Arial" w:eastAsia="Arial" w:hAnsi="Arial"/>
          <w:b w:val="false"/>
          <w:bCs w:val="false"/>
          <w:i w:val="false"/>
          <w:iCs w:val="false"/>
          <w:color w:val="333333"/>
          <w:sz w:val="21"/>
          <w:szCs w:val="21"/>
        </w:rPr>
        <w:t xml:space="preserve">The Agency shall notify the Company within 24 hours when any person is added to or removed from the access list. Any team member who leaves TechDella or is reassigned from the Conductor account shall have their access revoked within 24 hours of the change.</w:t>
      </w:r>
    </w:p>
    <w:p>
      <w:pPr>
        <w:spacing w:after="160" w:line="276"/>
      </w:pPr>
      <w:r>
        <w:rPr>
          <w:rFonts w:ascii="Arial" w:cs="Arial" w:eastAsia="Arial" w:hAnsi="Arial"/>
          <w:b w:val="false"/>
          <w:bCs w:val="false"/>
          <w:i w:val="false"/>
          <w:iCs w:val="false"/>
          <w:color w:val="333333"/>
          <w:sz w:val="21"/>
          <w:szCs w:val="21"/>
        </w:rPr>
        <w:t xml:space="preserve">The Agency shall not add any third-party tools, pixels, tracking scripts, or integrations to the Company’s ad accounts or digital properties without prior written approval from the Company.</w:t>
      </w:r>
    </w:p>
    <w:p>
      <w:pPr>
        <w:pStyle w:val="Heading1"/>
      </w:pPr>
      <w:r>
        <w:t xml:space="preserve">5. Agency Fee Structure</w:t>
      </w:r>
    </w:p>
    <w:p>
      <w:pPr>
        <w:spacing w:after="120"/>
      </w:pPr>
    </w:p>
    <w:p>
      <w:pPr>
        <w:pStyle w:val="Heading2"/>
      </w:pPr>
      <w:r>
        <w:t xml:space="preserve">5.1 Base Retainer</w:t>
      </w:r>
    </w:p>
    <w:p>
      <w:pPr>
        <w:spacing w:after="160" w:line="276"/>
      </w:pPr>
      <w:r>
        <w:rPr>
          <w:rFonts w:ascii="Arial" w:cs="Arial" w:eastAsia="Arial" w:hAnsi="Arial"/>
          <w:b w:val="false"/>
          <w:bCs w:val="false"/>
          <w:i w:val="false"/>
          <w:iCs w:val="false"/>
          <w:color w:val="333333"/>
          <w:sz w:val="21"/>
          <w:szCs w:val="21"/>
        </w:rPr>
        <w:t xml:space="preserve">₦900,000 (Nine Hundred Thousand Naira) per month, payable on or before the 30th of each month for the following month’s service period. The Base Retainer covers the Agency’s operating commitment, including team allocation, tools, and minimum service delivery regardless of marketplace performance.</w:t>
      </w:r>
    </w:p>
    <w:p>
      <w:pPr>
        <w:spacing w:after="160" w:line="276"/>
      </w:pPr>
      <w:r>
        <w:rPr>
          <w:rFonts w:ascii="Arial" w:cs="Arial" w:eastAsia="Arial" w:hAnsi="Arial"/>
          <w:b w:val="false"/>
          <w:bCs w:val="false"/>
          <w:i w:val="false"/>
          <w:iCs w:val="false"/>
          <w:color w:val="333333"/>
          <w:sz w:val="21"/>
          <w:szCs w:val="21"/>
        </w:rPr>
        <w:t xml:space="preserve">A grace period of 5 business days applies to all Base Retainer payments. Late payment beyond the grace period does not constitute grounds for the Agency to suspend services without providing 7 days written notice to the Company.</w:t>
      </w:r>
    </w:p>
    <w:p>
      <w:pPr>
        <w:spacing w:after="120"/>
      </w:pPr>
    </w:p>
    <w:p>
      <w:pPr>
        <w:pStyle w:val="Heading2"/>
      </w:pPr>
      <w:r>
        <w:t xml:space="preserve">5.2 Performance-Linked Retainer</w:t>
      </w:r>
    </w:p>
    <w:p>
      <w:pPr>
        <w:spacing w:after="160" w:line="276"/>
      </w:pPr>
      <w:r>
        <w:rPr>
          <w:rFonts w:ascii="Arial" w:cs="Arial" w:eastAsia="Arial" w:hAnsi="Arial"/>
          <w:b w:val="false"/>
          <w:bCs w:val="false"/>
          <w:i w:val="false"/>
          <w:iCs w:val="false"/>
          <w:color w:val="333333"/>
          <w:sz w:val="21"/>
          <w:szCs w:val="21"/>
        </w:rPr>
        <w:t xml:space="preserve">In addition to the Base Retainer, the Agency shall receive a Performance-Linked Retainer calculated monthly based on verified marketplace activity: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Metric</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Driver who completes first ride on Conductor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₦80 per driver first ride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Passenger who completes first ride on Conductor</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₦50 per passenger first ride</w:t>
            </w:r>
          </w:p>
        </w:tc>
      </w:tr>
    </w:tbl>
    <w:p>
      <w:pPr>
        <w:spacing w:after="120"/>
      </w:pPr>
    </w:p>
    <w:p>
      <w:pPr>
        <w:spacing w:after="160" w:line="276"/>
      </w:pPr>
      <w:r>
        <w:rPr>
          <w:rFonts w:ascii="Arial" w:cs="Arial" w:eastAsia="Arial" w:hAnsi="Arial"/>
          <w:b w:val="false"/>
          <w:bCs w:val="false"/>
          <w:i w:val="false"/>
          <w:iCs w:val="false"/>
          <w:color w:val="333333"/>
          <w:sz w:val="21"/>
          <w:szCs w:val="21"/>
        </w:rPr>
        <w:t xml:space="preserve">The Performance-Linked Retainer is uncapped. Rates apply to all first rides recorded on the Conductor platform during each calendar month, regardless of acquisition source (paid, organic, referral, or other).</w:t>
      </w:r>
    </w:p>
    <w:p>
      <w:pPr>
        <w:spacing w:after="160" w:line="276"/>
      </w:pPr>
      <w:r>
        <w:rPr>
          <w:rFonts w:ascii="Arial" w:cs="Arial" w:eastAsia="Arial" w:hAnsi="Arial"/>
          <w:b w:val="false"/>
          <w:bCs w:val="false"/>
          <w:i w:val="false"/>
          <w:iCs w:val="false"/>
          <w:color w:val="333333"/>
          <w:sz w:val="21"/>
          <w:szCs w:val="21"/>
        </w:rPr>
        <w:t xml:space="preserve">The Performance-Linked Retainer is payable by the 10th of the month following the month in which the activity occurred, based on verified data as described in Section 5.4.</w:t>
      </w:r>
    </w:p>
    <w:p>
      <w:pPr>
        <w:spacing w:after="120"/>
      </w:pPr>
    </w:p>
    <w:p>
      <w:pPr>
        <w:pStyle w:val="Heading2"/>
      </w:pPr>
      <w:r>
        <w:t xml:space="preserve">5.3 Nature and Expectations of the Performance-Linked Retainer</w:t>
      </w:r>
    </w:p>
    <w:p>
      <w:pPr>
        <w:spacing w:after="160" w:line="276"/>
      </w:pPr>
      <w:r>
        <w:rPr>
          <w:rFonts w:ascii="Arial" w:cs="Arial" w:eastAsia="Arial" w:hAnsi="Arial"/>
          <w:b w:val="false"/>
          <w:bCs w:val="false"/>
          <w:i w:val="false"/>
          <w:iCs w:val="false"/>
          <w:color w:val="333333"/>
          <w:sz w:val="21"/>
          <w:szCs w:val="21"/>
        </w:rPr>
        <w:t xml:space="preserve">The Performance-Linked Retainer is not a bonus, commission, or profit-sharing arrangement. It is a variable component of the Agency’s service fee. It reflects two realities simultaneously: the value the Agency’s work produces for Conductor, and the increased operational scope that a growing marketplace demands from the Agency.</w:t>
      </w:r>
    </w:p>
    <w:p>
      <w:pPr>
        <w:spacing w:after="160" w:line="276"/>
      </w:pPr>
      <w:r>
        <w:rPr>
          <w:rFonts w:ascii="Arial" w:cs="Arial" w:eastAsia="Arial" w:hAnsi="Arial"/>
          <w:b w:val="false"/>
          <w:bCs w:val="false"/>
          <w:i w:val="false"/>
          <w:iCs w:val="false"/>
          <w:color w:val="333333"/>
          <w:sz w:val="21"/>
          <w:szCs w:val="21"/>
        </w:rPr>
        <w:t xml:space="preserve">A growing marketplace — more active drivers, more passenger rides, more corridors with activity — requires proportionally more work from the Agency. As such, an increase in the Performance-Linked Retainer carries a corresponding expectation of increased Agency output:</w:t>
      </w:r>
    </w:p>
    <w:p>
      <w:pPr>
        <w:pStyle w:val="ListParagraph"/>
        <w:numPr>
          <w:ilvl w:val="0"/>
          <w:numId w:val="2"/>
        </w:numPr>
        <w:spacing w:after="80" w:line="276"/>
      </w:pPr>
      <w:r>
        <w:rPr>
          <w:rFonts w:ascii="Arial" w:cs="Arial" w:eastAsia="Arial" w:hAnsi="Arial"/>
          <w:color w:val="333333"/>
          <w:sz w:val="21"/>
          <w:szCs w:val="21"/>
        </w:rPr>
        <w:t xml:space="preserve">Content volume scales with marketplace activity. If monthly first rides increase, the Agency is expected to proportionally increase creative production to support the expanded marketplace, including corridor-specific content for newly active corridors, additional UGC sourcing, and expanded social media coverage.</w:t>
      </w:r>
    </w:p>
    <w:p>
      <w:pPr>
        <w:pStyle w:val="ListParagraph"/>
        <w:numPr>
          <w:ilvl w:val="0"/>
          <w:numId w:val="2"/>
        </w:numPr>
        <w:spacing w:after="80" w:line="276"/>
      </w:pPr>
      <w:r>
        <w:rPr>
          <w:rFonts w:ascii="Arial" w:cs="Arial" w:eastAsia="Arial" w:hAnsi="Arial"/>
          <w:color w:val="333333"/>
          <w:sz w:val="21"/>
          <w:szCs w:val="21"/>
        </w:rPr>
        <w:t xml:space="preserve">Campaign management scales with ad spend. If the Company increases the monthly ad spend beyond the initial $3,000 USD, the Agency is expected to manage the additional budget with the same precision, daily reporting, and optimisation. No additional Base Retainer is required, as the Performance-Linked Retainer already adjusts to reflect increased marketplace activity.</w:t>
      </w:r>
    </w:p>
    <w:p>
      <w:pPr>
        <w:pStyle w:val="ListParagraph"/>
        <w:numPr>
          <w:ilvl w:val="0"/>
          <w:numId w:val="2"/>
        </w:numPr>
        <w:spacing w:after="80" w:line="276"/>
      </w:pPr>
      <w:r>
        <w:rPr>
          <w:rFonts w:ascii="Arial" w:cs="Arial" w:eastAsia="Arial" w:hAnsi="Arial"/>
          <w:color w:val="333333"/>
          <w:sz w:val="21"/>
          <w:szCs w:val="21"/>
        </w:rPr>
        <w:t xml:space="preserve">Reporting and analysis scales with complexity. As the number of active corridors, campaigns, and channels increases, daily and weekly reports are expected to cover all active campaigns with the same granularity provided during the initial engagement.</w:t>
      </w:r>
    </w:p>
    <w:p>
      <w:pPr>
        <w:spacing w:after="120"/>
      </w:pPr>
    </w:p>
    <w:p>
      <w:pPr>
        <w:pStyle w:val="Heading2"/>
      </w:pPr>
      <w:r>
        <w:t xml:space="preserve">5.4 Verification and Payment</w:t>
      </w:r>
    </w:p>
    <w:p>
      <w:pPr>
        <w:spacing w:after="160" w:line="276"/>
      </w:pPr>
      <w:r>
        <w:rPr>
          <w:rFonts w:ascii="Arial" w:cs="Arial" w:eastAsia="Arial" w:hAnsi="Arial"/>
          <w:b w:val="false"/>
          <w:bCs w:val="false"/>
          <w:i w:val="false"/>
          <w:iCs w:val="false"/>
          <w:color w:val="333333"/>
          <w:sz w:val="21"/>
          <w:szCs w:val="21"/>
        </w:rPr>
        <w:t xml:space="preserve">Marketplace activity data (driver first rides and passenger first rides) shall be verified using the Company’s internal database records. The Agency shall receive a monthly activity report by the 5th of each month showing the verified counts for the prior month. Payment of the Performance-Linked Retainer is due within 5 business days of the Agency receiving and accepting the activity report.</w:t>
      </w:r>
    </w:p>
    <w:p>
      <w:pPr>
        <w:spacing w:after="160" w:line="276"/>
      </w:pPr>
      <w:r>
        <w:rPr>
          <w:rFonts w:ascii="Arial" w:cs="Arial" w:eastAsia="Arial" w:hAnsi="Arial"/>
          <w:b w:val="false"/>
          <w:bCs w:val="false"/>
          <w:i w:val="false"/>
          <w:iCs w:val="false"/>
          <w:color w:val="333333"/>
          <w:sz w:val="21"/>
          <w:szCs w:val="21"/>
        </w:rPr>
        <w:t xml:space="preserve">Any disputes regarding activity counts shall be resolved within 10 business days through joint review of platform data. In the event of a dispute, the undisputed portion shall be paid on schedule.</w:t>
      </w:r>
    </w:p>
    <w:p>
      <w:pPr>
        <w:pStyle w:val="Heading1"/>
      </w:pPr>
      <w:r>
        <w:t xml:space="preserve">6. Performance Targets</w:t>
      </w:r>
    </w:p>
    <w:p>
      <w:pPr>
        <w:spacing w:after="160" w:line="276"/>
      </w:pPr>
      <w:r>
        <w:rPr>
          <w:rFonts w:ascii="Arial" w:cs="Arial" w:eastAsia="Arial" w:hAnsi="Arial"/>
          <w:b w:val="false"/>
          <w:bCs w:val="false"/>
          <w:i w:val="false"/>
          <w:iCs w:val="false"/>
          <w:color w:val="333333"/>
          <w:sz w:val="21"/>
          <w:szCs w:val="21"/>
        </w:rPr>
        <w:t xml:space="preserve">The following targets represent the expected performance standards for the engagement. These are not guarantees — both Parties acknowledge that marketplace dynamics, product factors, and external conditions may influence outcomes. However, these targets form the basis against which the Agency’s performance will be evaluated.</w:t>
      </w:r>
    </w:p>
    <w:p>
      <w:pPr>
        <w:spacing w:after="120"/>
      </w:pPr>
    </w:p>
    <w:p>
      <w:pPr>
        <w:pStyle w:val="Heading2"/>
      </w:pPr>
      <w:r>
        <w:t xml:space="preserve">6.1 Cost Per Install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App</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CPI Target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Historical Benchmark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Driver App (Android)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₦220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₦255 (Nov 2025, self-run)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Passenger App (Android)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₦180</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₦199 (Nov 2025, self-run)</w:t>
            </w:r>
          </w:p>
        </w:tc>
      </w:tr>
    </w:tbl>
    <w:p>
      <w:pPr>
        <w:spacing w:after="120"/>
      </w:pPr>
    </w:p>
    <w:p>
      <w:pPr>
        <w:spacing w:after="160" w:line="276"/>
      </w:pPr>
      <w:r>
        <w:rPr>
          <w:rFonts w:ascii="Arial" w:cs="Arial" w:eastAsia="Arial" w:hAnsi="Arial"/>
          <w:b w:val="false"/>
          <w:bCs w:val="false"/>
          <w:i w:val="false"/>
          <w:iCs w:val="false"/>
          <w:color w:val="333333"/>
          <w:sz w:val="21"/>
          <w:szCs w:val="21"/>
        </w:rPr>
        <w:t xml:space="preserve">CPI must be reported separately for each app. Blended CPI reporting is not acceptable. The Company achieved ₦255 (driver) and ₦199 (passenger) without professional creative, optimised targeting, or UGC content. The Agency is expected to improve on these benchmarks through professional execution.</w:t>
      </w:r>
    </w:p>
    <w:p>
      <w:pPr>
        <w:spacing w:after="160" w:line="276"/>
      </w:pPr>
      <w:r>
        <w:rPr>
          <w:rFonts w:ascii="Arial" w:cs="Arial" w:eastAsia="Arial" w:hAnsi="Arial"/>
          <w:b w:val="false"/>
          <w:bCs w:val="false"/>
          <w:i w:val="false"/>
          <w:iCs w:val="false"/>
          <w:color w:val="333333"/>
          <w:sz w:val="21"/>
          <w:szCs w:val="21"/>
        </w:rPr>
        <w:t xml:space="preserve">Note: iOS campaigns in the November 2025 campaign produced zero installs despite $54.70 in spend. The Agency should evaluate iOS viability carefully before allocating budget to iOS campaigns.</w:t>
      </w:r>
    </w:p>
    <w:p>
      <w:pPr>
        <w:spacing w:after="120"/>
      </w:pPr>
    </w:p>
    <w:p>
      <w:pPr>
        <w:pStyle w:val="Heading2"/>
      </w:pPr>
      <w:r>
        <w:t xml:space="preserve">6.2 Install Volume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Period</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Driver Installs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Passenger Installs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Total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Month 1 (June)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5,000–7,000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8,000–13,000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15,000–20,000</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Month 2 (July)</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3,500–5,000</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12,000–15,000</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17,000–20,000</w:t>
            </w:r>
          </w:p>
        </w:tc>
      </w:tr>
    </w:tbl>
    <w:p>
      <w:pPr>
        <w:spacing w:after="120"/>
      </w:pPr>
    </w:p>
    <w:p>
      <w:pPr>
        <w:spacing w:after="160" w:line="276"/>
      </w:pPr>
      <w:r>
        <w:rPr>
          <w:rFonts w:ascii="Arial" w:cs="Arial" w:eastAsia="Arial" w:hAnsi="Arial"/>
          <w:b w:val="false"/>
          <w:bCs w:val="false"/>
          <w:i w:val="false"/>
          <w:iCs w:val="false"/>
          <w:color w:val="333333"/>
          <w:sz w:val="21"/>
          <w:szCs w:val="21"/>
        </w:rPr>
        <w:t xml:space="preserve">The driver/passenger split is directional, not fixed. The Agency is expected to adjust the split weekly based on daily performance data and marketplace balance. The principle is: never acquire more drivers than the marketplace can absorb with passenger demand within two weeks.</w:t>
      </w:r>
    </w:p>
    <w:p>
      <w:pPr>
        <w:spacing w:after="120"/>
      </w:pPr>
    </w:p>
    <w:p>
      <w:pPr>
        <w:pStyle w:val="Heading2"/>
      </w:pPr>
      <w:r>
        <w:t xml:space="preserve">6.3 Traffic Quality Target</w:t>
      </w:r>
    </w:p>
    <w:p>
      <w:pPr>
        <w:spacing w:after="160" w:line="276"/>
      </w:pPr>
      <w:r>
        <w:rPr>
          <w:rFonts w:ascii="Arial" w:cs="Arial" w:eastAsia="Arial" w:hAnsi="Arial"/>
          <w:b w:val="false"/>
          <w:bCs w:val="false"/>
          <w:i w:val="false"/>
          <w:iCs w:val="false"/>
          <w:color w:val="333333"/>
          <w:sz w:val="21"/>
          <w:szCs w:val="21"/>
        </w:rPr>
        <w:t xml:space="preserve">Install-to-registration conversion rate: minimum 40% for each app, reported separately. If the registration rate drops below 40% for either app for two consecutive days, the Agency must flag this within 24 hours and propose a targeting adjustment.</w:t>
      </w:r>
    </w:p>
    <w:p>
      <w:pPr>
        <w:spacing w:after="120"/>
      </w:pPr>
    </w:p>
    <w:p>
      <w:pPr>
        <w:pStyle w:val="Heading2"/>
      </w:pPr>
      <w:r>
        <w:t xml:space="preserve">6.4 Marketplace Activity Targets — End of July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Metric</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Daily active rides (averaged over final week of July)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300 rides per day</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Cumulative paying passengers (completed at least one paid ride)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1,000 passengers</w:t>
            </w:r>
          </w:p>
        </w:tc>
      </w:tr>
    </w:tbl>
    <w:p>
      <w:pPr>
        <w:spacing w:after="120"/>
      </w:pPr>
    </w:p>
    <w:p>
      <w:pPr>
        <w:spacing w:after="160" w:line="276"/>
      </w:pPr>
      <w:r>
        <w:rPr>
          <w:rFonts w:ascii="Arial" w:cs="Arial" w:eastAsia="Arial" w:hAnsi="Arial"/>
          <w:b w:val="false"/>
          <w:bCs w:val="false"/>
          <w:i w:val="false"/>
          <w:iCs w:val="false"/>
          <w:color w:val="333333"/>
          <w:sz w:val="21"/>
          <w:szCs w:val="21"/>
        </w:rPr>
        <w:t xml:space="preserve">Both Parties acknowledge that marketplace activity targets depend on factors beyond the Agency’s direct control, including product stability, onboarding flow quality, payment system reliability, and corridor-level supply-demand matching. The Company commits to maintaining a functional product and addressing technical issues promptly. If the Company’s product experiences material technical failures that demonstrably impact marketplace activity, this will be taken into account during performance reviews.</w:t>
      </w:r>
    </w:p>
    <w:p>
      <w:pPr>
        <w:spacing w:after="160" w:line="276"/>
      </w:pPr>
      <w:r>
        <w:rPr>
          <w:rFonts w:ascii="Arial" w:cs="Arial" w:eastAsia="Arial" w:hAnsi="Arial"/>
          <w:b w:val="false"/>
          <w:bCs w:val="false"/>
          <w:i w:val="false"/>
          <w:iCs w:val="false"/>
          <w:color w:val="333333"/>
          <w:sz w:val="21"/>
          <w:szCs w:val="21"/>
        </w:rPr>
        <w:t xml:space="preserve">The Agency’s contribution to marketplace activity targets is evaluated through the quality and relevance of users acquired — specifically, whether users who install through the Agency’s campaigns understand what Conductor is, complete registration, and attempt to use the platform.</w:t>
      </w:r>
    </w:p>
    <w:p>
      <w:pPr>
        <w:pStyle w:val="Heading1"/>
      </w:pPr>
      <w:r>
        <w:t xml:space="preserve">7. Creative Approval Process</w:t>
      </w:r>
    </w:p>
    <w:p>
      <w:pPr>
        <w:spacing w:after="160" w:line="276"/>
      </w:pPr>
      <w:r>
        <w:rPr>
          <w:rFonts w:ascii="Arial" w:cs="Arial" w:eastAsia="Arial" w:hAnsi="Arial"/>
          <w:b w:val="false"/>
          <w:bCs w:val="false"/>
          <w:i w:val="false"/>
          <w:iCs w:val="false"/>
          <w:color w:val="333333"/>
          <w:sz w:val="21"/>
          <w:szCs w:val="21"/>
        </w:rPr>
        <w:t xml:space="preserve">Campaign optimisation decisions — including pausing underperforming ads, shifting budget between channels, adjusting targeting parameters, and retiring underperforming creative formats — may be made by the Agency without prior approval from the Company. The Agency must report and justify all such decisions in the daily or weekly report.</w:t>
      </w:r>
    </w:p>
    <w:p>
      <w:pPr>
        <w:spacing w:after="160" w:line="276"/>
      </w:pPr>
      <w:r>
        <w:rPr>
          <w:rFonts w:ascii="Arial" w:cs="Arial" w:eastAsia="Arial" w:hAnsi="Arial"/>
          <w:b w:val="false"/>
          <w:bCs w:val="false"/>
          <w:i w:val="false"/>
          <w:iCs w:val="false"/>
          <w:color w:val="333333"/>
          <w:sz w:val="21"/>
          <w:szCs w:val="21"/>
        </w:rPr>
        <w:t xml:space="preserve">New creative content and messaging — including new video concepts, new ad copy, new visual formats, and any content that establishes or modifies how Conductor is positioned to the public — must be shared with the Company for review before first publication.</w:t>
      </w:r>
    </w:p>
    <w:p>
      <w:pPr>
        <w:spacing w:after="160" w:line="276"/>
      </w:pPr>
      <w:r>
        <w:rPr>
          <w:rFonts w:ascii="Arial" w:cs="Arial" w:eastAsia="Arial" w:hAnsi="Arial"/>
          <w:b w:val="false"/>
          <w:bCs w:val="false"/>
          <w:i w:val="false"/>
          <w:iCs w:val="false"/>
          <w:color w:val="333333"/>
          <w:sz w:val="21"/>
          <w:szCs w:val="21"/>
        </w:rPr>
        <w:t xml:space="preserve">The Company shall respond to creative review requests within 24 hours. If no response is received from the Company within 24 hours of the review request, the Agency may proceed with publication.</w:t>
      </w:r>
    </w:p>
    <w:p>
      <w:pPr>
        <w:spacing w:after="160" w:line="276"/>
      </w:pPr>
      <w:r>
        <w:rPr>
          <w:rFonts w:ascii="Arial" w:cs="Arial" w:eastAsia="Arial" w:hAnsi="Arial"/>
          <w:b w:val="false"/>
          <w:bCs w:val="false"/>
          <w:i w:val="false"/>
          <w:iCs w:val="false"/>
          <w:color w:val="333333"/>
          <w:sz w:val="21"/>
          <w:szCs w:val="21"/>
        </w:rPr>
        <w:t xml:space="preserve">This distinction ensures that the Agency can move fast on performance decisions while the Company retains oversight on brand positioning and messaging — which is critical given the unique challenge of communicating that Conductor is not an on-demand ride-hailing service.</w:t>
      </w:r>
    </w:p>
    <w:p>
      <w:pPr>
        <w:pStyle w:val="Heading1"/>
      </w:pPr>
      <w:r>
        <w:t xml:space="preserve">8. Review Cadence</w:t>
      </w:r>
    </w:p>
    <w:p>
      <w:pPr>
        <w:spacing w:after="120"/>
      </w:pPr>
    </w:p>
    <w:p>
      <w:pPr>
        <w:pStyle w:val="Heading2"/>
      </w:pPr>
      <w:r>
        <w:t xml:space="preserve">8.1 Pre-Launch Review — End of May 2026</w:t>
      </w:r>
    </w:p>
    <w:p>
      <w:pPr>
        <w:spacing w:after="160" w:line="276"/>
      </w:pPr>
      <w:r>
        <w:rPr>
          <w:rFonts w:ascii="Arial" w:cs="Arial" w:eastAsia="Arial" w:hAnsi="Arial"/>
          <w:b w:val="false"/>
          <w:bCs w:val="false"/>
          <w:i w:val="false"/>
          <w:iCs w:val="false"/>
          <w:color w:val="333333"/>
          <w:sz w:val="21"/>
          <w:szCs w:val="21"/>
        </w:rPr>
        <w:t xml:space="preserve">Before the full campaign launches, both Parties shall review the results of the pre-launch diagnostic campaign (managed separately by the Company) alongside the onboarding findings from app audits, user research sessions, and creative preparation. The purpose of this review is to validate or adjust the performance targets in Section 6 based on current market data. Targets may be adjusted upward or downward by mutual written agreement.</w:t>
      </w:r>
    </w:p>
    <w:p>
      <w:pPr>
        <w:spacing w:after="120"/>
      </w:pPr>
    </w:p>
    <w:p>
      <w:pPr>
        <w:pStyle w:val="Heading2"/>
      </w:pPr>
      <w:r>
        <w:t xml:space="preserve">8.2 Mid-Trial Review — End of June 2026</w:t>
      </w:r>
    </w:p>
    <w:p>
      <w:pPr>
        <w:spacing w:after="160" w:line="276"/>
      </w:pPr>
      <w:r>
        <w:rPr>
          <w:rFonts w:ascii="Arial" w:cs="Arial" w:eastAsia="Arial" w:hAnsi="Arial"/>
          <w:b w:val="false"/>
          <w:bCs w:val="false"/>
          <w:i w:val="false"/>
          <w:iCs w:val="false"/>
          <w:color w:val="333333"/>
          <w:sz w:val="21"/>
          <w:szCs w:val="21"/>
        </w:rPr>
        <w:t xml:space="preserve">At the end of the first full campaign month, both Parties shall conduct an informational review covering:</w:t>
      </w:r>
    </w:p>
    <w:p>
      <w:pPr>
        <w:pStyle w:val="ListParagraph"/>
        <w:numPr>
          <w:ilvl w:val="0"/>
          <w:numId w:val="2"/>
        </w:numPr>
        <w:spacing w:after="80" w:line="276"/>
      </w:pPr>
      <w:r>
        <w:rPr>
          <w:rFonts w:ascii="Arial" w:cs="Arial" w:eastAsia="Arial" w:hAnsi="Arial"/>
          <w:color w:val="333333"/>
          <w:sz w:val="21"/>
          <w:szCs w:val="21"/>
        </w:rPr>
        <w:t xml:space="preserve">Installs and CPI by app and by channel</w:t>
      </w:r>
    </w:p>
    <w:p>
      <w:pPr>
        <w:pStyle w:val="ListParagraph"/>
        <w:numPr>
          <w:ilvl w:val="0"/>
          <w:numId w:val="2"/>
        </w:numPr>
        <w:spacing w:after="80" w:line="276"/>
      </w:pPr>
      <w:r>
        <w:rPr>
          <w:rFonts w:ascii="Arial" w:cs="Arial" w:eastAsia="Arial" w:hAnsi="Arial"/>
          <w:color w:val="333333"/>
          <w:sz w:val="21"/>
          <w:szCs w:val="21"/>
        </w:rPr>
        <w:t xml:space="preserve">Registration conversion rate by app</w:t>
      </w:r>
    </w:p>
    <w:p>
      <w:pPr>
        <w:pStyle w:val="ListParagraph"/>
        <w:numPr>
          <w:ilvl w:val="0"/>
          <w:numId w:val="2"/>
        </w:numPr>
        <w:spacing w:after="80" w:line="276"/>
      </w:pPr>
      <w:r>
        <w:rPr>
          <w:rFonts w:ascii="Arial" w:cs="Arial" w:eastAsia="Arial" w:hAnsi="Arial"/>
          <w:color w:val="333333"/>
          <w:sz w:val="21"/>
          <w:szCs w:val="21"/>
        </w:rPr>
        <w:t xml:space="preserve">Creative performance — which formats are working and which should be retired</w:t>
      </w:r>
    </w:p>
    <w:p>
      <w:pPr>
        <w:pStyle w:val="ListParagraph"/>
        <w:numPr>
          <w:ilvl w:val="0"/>
          <w:numId w:val="2"/>
        </w:numPr>
        <w:spacing w:after="80" w:line="276"/>
      </w:pPr>
      <w:r>
        <w:rPr>
          <w:rFonts w:ascii="Arial" w:cs="Arial" w:eastAsia="Arial" w:hAnsi="Arial"/>
          <w:color w:val="333333"/>
          <w:sz w:val="21"/>
          <w:szCs w:val="21"/>
        </w:rPr>
        <w:t xml:space="preserve">Funnel observations and product feedback from the Agency</w:t>
      </w:r>
    </w:p>
    <w:p>
      <w:pPr>
        <w:pStyle w:val="ListParagraph"/>
        <w:numPr>
          <w:ilvl w:val="0"/>
          <w:numId w:val="2"/>
        </w:numPr>
        <w:spacing w:after="80" w:line="276"/>
      </w:pPr>
      <w:r>
        <w:rPr>
          <w:rFonts w:ascii="Arial" w:cs="Arial" w:eastAsia="Arial" w:hAnsi="Arial"/>
          <w:color w:val="333333"/>
          <w:sz w:val="21"/>
          <w:szCs w:val="21"/>
        </w:rPr>
        <w:t xml:space="preserve">Corridor-level marketplace activity — where rides are happening and where they are not</w:t>
      </w:r>
    </w:p>
    <w:p>
      <w:pPr>
        <w:pStyle w:val="ListParagraph"/>
        <w:numPr>
          <w:ilvl w:val="0"/>
          <w:numId w:val="2"/>
        </w:numPr>
        <w:spacing w:after="80" w:line="276"/>
      </w:pPr>
      <w:r>
        <w:rPr>
          <w:rFonts w:ascii="Arial" w:cs="Arial" w:eastAsia="Arial" w:hAnsi="Arial"/>
          <w:color w:val="333333"/>
          <w:sz w:val="21"/>
          <w:szCs w:val="21"/>
        </w:rPr>
        <w:t xml:space="preserve">Recommendations and adjustments for July</w:t>
      </w:r>
    </w:p>
    <w:p>
      <w:pPr>
        <w:spacing w:after="160" w:line="276"/>
      </w:pPr>
      <w:r>
        <w:rPr>
          <w:rFonts w:ascii="Arial" w:cs="Arial" w:eastAsia="Arial" w:hAnsi="Arial"/>
          <w:b w:val="false"/>
          <w:bCs w:val="false"/>
          <w:i w:val="false"/>
          <w:iCs w:val="false"/>
          <w:color w:val="333333"/>
          <w:sz w:val="21"/>
          <w:szCs w:val="21"/>
        </w:rPr>
        <w:t xml:space="preserve">This review is not a termination gate. Its purpose is to identify issues early and agree on course corrections for the second campaign month.</w:t>
      </w:r>
    </w:p>
    <w:p>
      <w:pPr>
        <w:spacing w:after="120"/>
      </w:pPr>
    </w:p>
    <w:p>
      <w:pPr>
        <w:pStyle w:val="Heading2"/>
      </w:pPr>
      <w:r>
        <w:t xml:space="preserve">8.3 Trial Period Conclusion — August 7, 2026</w:t>
      </w:r>
    </w:p>
    <w:p>
      <w:pPr>
        <w:spacing w:after="160" w:line="276"/>
      </w:pPr>
      <w:r>
        <w:rPr>
          <w:rFonts w:ascii="Arial" w:cs="Arial" w:eastAsia="Arial" w:hAnsi="Arial"/>
          <w:b w:val="false"/>
          <w:bCs w:val="false"/>
          <w:i w:val="false"/>
          <w:iCs w:val="false"/>
          <w:color w:val="333333"/>
          <w:sz w:val="21"/>
          <w:szCs w:val="21"/>
        </w:rPr>
        <w:t xml:space="preserve">The trial period review shall take place no later than August 7, 2026. Both Parties shall prepare and share their performance assessments at least 3 business days before the review meeting.</w:t>
      </w:r>
    </w:p>
    <w:p>
      <w:pPr>
        <w:spacing w:after="160" w:line="276"/>
      </w:pPr>
      <w:r>
        <w:rPr>
          <w:rFonts w:ascii="Arial" w:cs="Arial" w:eastAsia="Arial" w:hAnsi="Arial"/>
          <w:b w:val="false"/>
          <w:bCs w:val="false"/>
          <w:i w:val="false"/>
          <w:iCs w:val="false"/>
          <w:color w:val="333333"/>
          <w:sz w:val="21"/>
          <w:szCs w:val="21"/>
        </w:rPr>
        <w:t xml:space="preserve">This review will evaluate:</w:t>
      </w:r>
    </w:p>
    <w:p>
      <w:pPr>
        <w:pStyle w:val="ListParagraph"/>
        <w:numPr>
          <w:ilvl w:val="0"/>
          <w:numId w:val="2"/>
        </w:numPr>
        <w:spacing w:after="80" w:line="276"/>
      </w:pPr>
      <w:r>
        <w:rPr>
          <w:rFonts w:ascii="Arial" w:cs="Arial" w:eastAsia="Arial" w:hAnsi="Arial"/>
          <w:color w:val="333333"/>
          <w:sz w:val="21"/>
          <w:szCs w:val="21"/>
        </w:rPr>
        <w:t xml:space="preserve">Whether CPI targets were achieved for each app</w:t>
      </w:r>
    </w:p>
    <w:p>
      <w:pPr>
        <w:pStyle w:val="ListParagraph"/>
        <w:numPr>
          <w:ilvl w:val="0"/>
          <w:numId w:val="2"/>
        </w:numPr>
        <w:spacing w:after="80" w:line="276"/>
      </w:pPr>
      <w:r>
        <w:rPr>
          <w:rFonts w:ascii="Arial" w:cs="Arial" w:eastAsia="Arial" w:hAnsi="Arial"/>
          <w:color w:val="333333"/>
          <w:sz w:val="21"/>
          <w:szCs w:val="21"/>
        </w:rPr>
        <w:t xml:space="preserve">Whether install volume targets were met</w:t>
      </w:r>
    </w:p>
    <w:p>
      <w:pPr>
        <w:pStyle w:val="ListParagraph"/>
        <w:numPr>
          <w:ilvl w:val="0"/>
          <w:numId w:val="2"/>
        </w:numPr>
        <w:spacing w:after="80" w:line="276"/>
      </w:pPr>
      <w:r>
        <w:rPr>
          <w:rFonts w:ascii="Arial" w:cs="Arial" w:eastAsia="Arial" w:hAnsi="Arial"/>
          <w:color w:val="333333"/>
          <w:sz w:val="21"/>
          <w:szCs w:val="21"/>
        </w:rPr>
        <w:t xml:space="preserve">Whether traffic quality (registration rate) met the 40% threshold</w:t>
      </w:r>
    </w:p>
    <w:p>
      <w:pPr>
        <w:pStyle w:val="ListParagraph"/>
        <w:numPr>
          <w:ilvl w:val="0"/>
          <w:numId w:val="2"/>
        </w:numPr>
        <w:spacing w:after="80" w:line="276"/>
      </w:pPr>
      <w:r>
        <w:rPr>
          <w:rFonts w:ascii="Arial" w:cs="Arial" w:eastAsia="Arial" w:hAnsi="Arial"/>
          <w:color w:val="333333"/>
          <w:sz w:val="21"/>
          <w:szCs w:val="21"/>
        </w:rPr>
        <w:t xml:space="preserve">Whether marketplace activity targets (300 daily rides, 1,000 paying passengers) were achieved</w:t>
      </w:r>
    </w:p>
    <w:p>
      <w:pPr>
        <w:pStyle w:val="ListParagraph"/>
        <w:numPr>
          <w:ilvl w:val="0"/>
          <w:numId w:val="2"/>
        </w:numPr>
        <w:spacing w:after="80" w:line="276"/>
      </w:pPr>
      <w:r>
        <w:rPr>
          <w:rFonts w:ascii="Arial" w:cs="Arial" w:eastAsia="Arial" w:hAnsi="Arial"/>
          <w:color w:val="333333"/>
          <w:sz w:val="21"/>
          <w:szCs w:val="21"/>
        </w:rPr>
        <w:t xml:space="preserve">The Agency’s overall contribution to marketplace development, including creative quality, reporting consistency, proactive feedback, and strategic recommendations</w:t>
      </w:r>
    </w:p>
    <w:p>
      <w:pPr>
        <w:spacing w:after="120"/>
      </w:pPr>
    </w:p>
    <w:p>
      <w:pPr>
        <w:spacing w:after="160" w:line="276"/>
      </w:pPr>
      <w:r>
        <w:rPr>
          <w:rFonts w:ascii="Arial" w:cs="Arial" w:eastAsia="Arial" w:hAnsi="Arial"/>
          <w:b w:val="false"/>
          <w:bCs w:val="false"/>
          <w:i w:val="false"/>
          <w:iCs w:val="false"/>
          <w:color w:val="333333"/>
          <w:sz w:val="21"/>
          <w:szCs w:val="21"/>
        </w:rPr>
        <w:t xml:space="preserve">Following this review, either Party may:</w:t>
      </w:r>
    </w:p>
    <w:p>
      <w:pPr>
        <w:pStyle w:val="ListParagraph"/>
        <w:numPr>
          <w:ilvl w:val="0"/>
          <w:numId w:val="2"/>
        </w:numPr>
        <w:spacing w:after="80" w:line="276"/>
      </w:pPr>
      <w:r>
        <w:rPr>
          <w:rFonts w:ascii="Arial" w:cs="Arial" w:eastAsia="Arial" w:hAnsi="Arial"/>
          <w:color w:val="333333"/>
          <w:sz w:val="21"/>
          <w:szCs w:val="21"/>
        </w:rPr>
        <w:t xml:space="preserve">Continue the engagement under existing terms</w:t>
      </w:r>
    </w:p>
    <w:p>
      <w:pPr>
        <w:pStyle w:val="ListParagraph"/>
        <w:numPr>
          <w:ilvl w:val="0"/>
          <w:numId w:val="2"/>
        </w:numPr>
        <w:spacing w:after="80" w:line="276"/>
      </w:pPr>
      <w:r>
        <w:rPr>
          <w:rFonts w:ascii="Arial" w:cs="Arial" w:eastAsia="Arial" w:hAnsi="Arial"/>
          <w:color w:val="333333"/>
          <w:sz w:val="21"/>
          <w:szCs w:val="21"/>
        </w:rPr>
        <w:t xml:space="preserve">Continue with adjusted terms, targets, or budget by mutual written agreement</w:t>
      </w:r>
    </w:p>
    <w:p>
      <w:pPr>
        <w:pStyle w:val="ListParagraph"/>
        <w:numPr>
          <w:ilvl w:val="0"/>
          <w:numId w:val="2"/>
        </w:numPr>
        <w:spacing w:after="80" w:line="276"/>
      </w:pPr>
      <w:r>
        <w:rPr>
          <w:rFonts w:ascii="Arial" w:cs="Arial" w:eastAsia="Arial" w:hAnsi="Arial"/>
          <w:color w:val="333333"/>
          <w:sz w:val="21"/>
          <w:szCs w:val="21"/>
        </w:rPr>
        <w:t xml:space="preserve">Terminate the engagement with 7 days written notice</w:t>
      </w:r>
    </w:p>
    <w:p>
      <w:pPr>
        <w:pStyle w:val="Heading1"/>
      </w:pPr>
      <w:r>
        <w:t xml:space="preserve">9. Onboarding Period — May 2026</w:t>
      </w:r>
    </w:p>
    <w:p>
      <w:pPr>
        <w:spacing w:after="160" w:line="276"/>
      </w:pPr>
      <w:r>
        <w:rPr>
          <w:rFonts w:ascii="Arial" w:cs="Arial" w:eastAsia="Arial" w:hAnsi="Arial"/>
          <w:b w:val="false"/>
          <w:bCs w:val="false"/>
          <w:i w:val="false"/>
          <w:iCs w:val="false"/>
          <w:color w:val="333333"/>
          <w:sz w:val="21"/>
          <w:szCs w:val="21"/>
        </w:rPr>
        <w:t xml:space="preserve">The period from contract signing through May 31, 2026 is the onboarding and preparation period. The full monthly fee structure (Section 5) begins June 1, 2026 when the paid campaign goes live.</w:t>
      </w:r>
    </w:p>
    <w:p>
      <w:pPr>
        <w:spacing w:after="120"/>
      </w:pPr>
    </w:p>
    <w:p>
      <w:pPr>
        <w:pStyle w:val="Heading2"/>
      </w:pPr>
      <w:r>
        <w:t xml:space="preserve">9.1 Onboarding Fee</w:t>
      </w:r>
    </w:p>
    <w:p>
      <w:pPr>
        <w:spacing w:after="160" w:line="276"/>
      </w:pPr>
      <w:r>
        <w:rPr>
          <w:rFonts w:ascii="Arial" w:cs="Arial" w:eastAsia="Arial" w:hAnsi="Arial"/>
          <w:b w:val="false"/>
          <w:bCs w:val="false"/>
          <w:i w:val="false"/>
          <w:iCs w:val="false"/>
          <w:color w:val="333333"/>
          <w:sz w:val="21"/>
          <w:szCs w:val="21"/>
        </w:rPr>
        <w:t xml:space="preserve">A one-time onboarding fee of ₦500,000 (Five Hundred Thousand Naira) is payable upon contract signing. This fee covers:</w:t>
      </w:r>
    </w:p>
    <w:p>
      <w:pPr>
        <w:pStyle w:val="ListParagraph"/>
        <w:numPr>
          <w:ilvl w:val="0"/>
          <w:numId w:val="2"/>
        </w:numPr>
        <w:spacing w:after="80" w:line="276"/>
      </w:pPr>
      <w:r>
        <w:rPr>
          <w:rFonts w:ascii="Arial" w:cs="Arial" w:eastAsia="Arial" w:hAnsi="Arial"/>
          <w:color w:val="333333"/>
          <w:sz w:val="21"/>
          <w:szCs w:val="21"/>
        </w:rPr>
        <w:t xml:space="preserve">Downloading and auditing both the driver and passenger apps — documenting every friction point in the onboarding flow</w:t>
      </w:r>
    </w:p>
    <w:p>
      <w:pPr>
        <w:pStyle w:val="ListParagraph"/>
        <w:numPr>
          <w:ilvl w:val="0"/>
          <w:numId w:val="2"/>
        </w:numPr>
        <w:spacing w:after="80" w:line="276"/>
      </w:pPr>
      <w:r>
        <w:rPr>
          <w:rFonts w:ascii="Arial" w:cs="Arial" w:eastAsia="Arial" w:hAnsi="Arial"/>
          <w:color w:val="333333"/>
          <w:sz w:val="21"/>
          <w:szCs w:val="21"/>
        </w:rPr>
        <w:t xml:space="preserve">Auditing the Company’s website and all social media platforms</w:t>
      </w:r>
    </w:p>
    <w:p>
      <w:pPr>
        <w:pStyle w:val="ListParagraph"/>
        <w:numPr>
          <w:ilvl w:val="0"/>
          <w:numId w:val="2"/>
        </w:numPr>
        <w:spacing w:after="80" w:line="276"/>
      </w:pPr>
      <w:r>
        <w:rPr>
          <w:rFonts w:ascii="Arial" w:cs="Arial" w:eastAsia="Arial" w:hAnsi="Arial"/>
          <w:color w:val="333333"/>
          <w:sz w:val="21"/>
          <w:szCs w:val="21"/>
        </w:rPr>
        <w:t xml:space="preserve">Reviewing historical campaign data (November 2025) and pre-launch diagnostic campaign results</w:t>
      </w:r>
    </w:p>
    <w:p>
      <w:pPr>
        <w:pStyle w:val="ListParagraph"/>
        <w:numPr>
          <w:ilvl w:val="0"/>
          <w:numId w:val="2"/>
        </w:numPr>
        <w:spacing w:after="80" w:line="276"/>
      </w:pPr>
      <w:r>
        <w:rPr>
          <w:rFonts w:ascii="Arial" w:cs="Arial" w:eastAsia="Arial" w:hAnsi="Arial"/>
          <w:color w:val="333333"/>
          <w:sz w:val="21"/>
          <w:szCs w:val="21"/>
        </w:rPr>
        <w:t xml:space="preserve">Attending Company-organised user research sessions with equipment to capture UGC footage and testimonials</w:t>
      </w:r>
    </w:p>
    <w:p>
      <w:pPr>
        <w:pStyle w:val="ListParagraph"/>
        <w:numPr>
          <w:ilvl w:val="0"/>
          <w:numId w:val="2"/>
        </w:numPr>
        <w:spacing w:after="80" w:line="276"/>
      </w:pPr>
      <w:r>
        <w:rPr>
          <w:rFonts w:ascii="Arial" w:cs="Arial" w:eastAsia="Arial" w:hAnsi="Arial"/>
          <w:color w:val="333333"/>
          <w:sz w:val="21"/>
          <w:szCs w:val="21"/>
        </w:rPr>
        <w:t xml:space="preserve">Producing the first batch of launch-ready creatives — minimum 4 driver and 4 passenger creative formats</w:t>
      </w:r>
    </w:p>
    <w:p>
      <w:pPr>
        <w:pStyle w:val="ListParagraph"/>
        <w:numPr>
          <w:ilvl w:val="0"/>
          <w:numId w:val="2"/>
        </w:numPr>
        <w:spacing w:after="80" w:line="276"/>
      </w:pPr>
      <w:r>
        <w:rPr>
          <w:rFonts w:ascii="Arial" w:cs="Arial" w:eastAsia="Arial" w:hAnsi="Arial"/>
          <w:color w:val="333333"/>
          <w:sz w:val="21"/>
          <w:szCs w:val="21"/>
        </w:rPr>
        <w:t xml:space="preserve">Setting up ad accounts on Meta, TikTok, and YouTube — targeting configured, audiences built, pixels installed</w:t>
      </w:r>
    </w:p>
    <w:p>
      <w:pPr>
        <w:pStyle w:val="ListParagraph"/>
        <w:numPr>
          <w:ilvl w:val="0"/>
          <w:numId w:val="2"/>
        </w:numPr>
        <w:spacing w:after="80" w:line="276"/>
      </w:pPr>
      <w:r>
        <w:rPr>
          <w:rFonts w:ascii="Arial" w:cs="Arial" w:eastAsia="Arial" w:hAnsi="Arial"/>
          <w:color w:val="333333"/>
          <w:sz w:val="21"/>
          <w:szCs w:val="21"/>
        </w:rPr>
        <w:t xml:space="preserve">Building and testing the daily reporting dashboard</w:t>
      </w:r>
    </w:p>
    <w:p>
      <w:pPr>
        <w:pStyle w:val="ListParagraph"/>
        <w:numPr>
          <w:ilvl w:val="0"/>
          <w:numId w:val="2"/>
        </w:numPr>
        <w:spacing w:after="80" w:line="276"/>
      </w:pPr>
      <w:r>
        <w:rPr>
          <w:rFonts w:ascii="Arial" w:cs="Arial" w:eastAsia="Arial" w:hAnsi="Arial"/>
          <w:color w:val="333333"/>
          <w:sz w:val="21"/>
          <w:szCs w:val="21"/>
        </w:rPr>
        <w:t xml:space="preserve">Providing initial corridor recommendations based on research and onboarding learnings</w:t>
      </w:r>
    </w:p>
    <w:p>
      <w:pPr>
        <w:spacing w:after="120"/>
      </w:pPr>
    </w:p>
    <w:p>
      <w:pPr>
        <w:pStyle w:val="Heading2"/>
      </w:pPr>
      <w:r>
        <w:t xml:space="preserve">9.2 Pre-Launch Diagnostic Campaign</w:t>
      </w:r>
    </w:p>
    <w:p>
      <w:pPr>
        <w:spacing w:after="160" w:line="276"/>
      </w:pPr>
      <w:r>
        <w:rPr>
          <w:rFonts w:ascii="Arial" w:cs="Arial" w:eastAsia="Arial" w:hAnsi="Arial"/>
          <w:b w:val="false"/>
          <w:bCs w:val="false"/>
          <w:i w:val="false"/>
          <w:iCs w:val="false"/>
          <w:color w:val="333333"/>
          <w:sz w:val="21"/>
          <w:szCs w:val="21"/>
        </w:rPr>
        <w:t xml:space="preserve">The Company is running a separate diagnostic campaign during May through another marketing partner. The Agency is not managing this campaign. The Agency shall review the diagnostic campaign results as they become available and incorporate the learnings into their campaign strategy and creative approach for the June 1 launch.</w:t>
      </w:r>
    </w:p>
    <w:p>
      <w:pPr>
        <w:pStyle w:val="Heading1"/>
      </w:pPr>
      <w:r>
        <w:t xml:space="preserve">10. Campaign Phasing</w:t>
      </w:r>
    </w:p>
    <w:p>
      <w:pPr>
        <w:spacing w:after="160" w:line="276"/>
      </w:pPr>
      <w:r>
        <w:rPr>
          <w:rFonts w:ascii="Arial" w:cs="Arial" w:eastAsia="Arial" w:hAnsi="Arial"/>
          <w:b w:val="false"/>
          <w:bCs w:val="false"/>
          <w:i w:val="false"/>
          <w:iCs w:val="false"/>
          <w:color w:val="333333"/>
          <w:sz w:val="21"/>
          <w:szCs w:val="21"/>
        </w:rPr>
        <w:t xml:space="preserve">The campaign shall follow a supply-first, demand-second phasing principle. Driver supply must be established on priority corridors before passenger demand is scaled. However, the phasing must balance both sides to prevent driver churn from empty seats.</w:t>
      </w:r>
    </w:p>
    <w:p>
      <w:pPr>
        <w:spacing w:after="120"/>
      </w:pPr>
    </w:p>
    <w:p>
      <w:pPr>
        <w:spacing w:after="160" w:line="276"/>
      </w:pPr>
      <w:r>
        <w:rPr>
          <w:rFonts w:ascii="Arial" w:cs="Arial" w:eastAsia="Arial" w:hAnsi="Arial"/>
          <w:b w:val="false"/>
          <w:bCs w:val="false"/>
          <w:i w:val="false"/>
          <w:iCs w:val="false"/>
          <w:color w:val="333333"/>
          <w:sz w:val="21"/>
          <w:szCs w:val="21"/>
        </w:rPr>
        <w:t xml:space="preserve">Directional monthly phasing:</w:t>
      </w:r>
    </w:p>
    <w:p>
      <w:pPr>
        <w:pStyle w:val="ListParagraph"/>
        <w:numPr>
          <w:ilvl w:val="0"/>
          <w:numId w:val="2"/>
        </w:numPr>
        <w:spacing w:after="80" w:line="276"/>
      </w:pPr>
      <w:r>
        <w:rPr>
          <w:rFonts w:ascii="Arial" w:cs="Arial" w:eastAsia="Arial" w:hAnsi="Arial"/>
          <w:color w:val="333333"/>
          <w:sz w:val="21"/>
          <w:szCs w:val="21"/>
        </w:rPr>
        <w:t xml:space="preserve">Month 1 (June): approximately 50/50 driver/passenger split. Both sides acquired in parallel to establish corridor density.</w:t>
      </w:r>
    </w:p>
    <w:p>
      <w:pPr>
        <w:pStyle w:val="ListParagraph"/>
        <w:numPr>
          <w:ilvl w:val="0"/>
          <w:numId w:val="2"/>
        </w:numPr>
        <w:spacing w:after="80" w:line="276"/>
      </w:pPr>
      <w:r>
        <w:rPr>
          <w:rFonts w:ascii="Arial" w:cs="Arial" w:eastAsia="Arial" w:hAnsi="Arial"/>
          <w:color w:val="333333"/>
          <w:sz w:val="21"/>
          <w:szCs w:val="21"/>
        </w:rPr>
        <w:t xml:space="preserve">Month 2 (July): approximately 35/65 driver/passenger. Supply establishing, demand growing.</w:t>
      </w:r>
    </w:p>
    <w:p>
      <w:pPr>
        <w:pStyle w:val="ListParagraph"/>
        <w:numPr>
          <w:ilvl w:val="0"/>
          <w:numId w:val="2"/>
        </w:numPr>
        <w:spacing w:after="80" w:line="276"/>
      </w:pPr>
      <w:r>
        <w:rPr>
          <w:rFonts w:ascii="Arial" w:cs="Arial" w:eastAsia="Arial" w:hAnsi="Arial"/>
          <w:color w:val="333333"/>
          <w:sz w:val="21"/>
          <w:szCs w:val="21"/>
        </w:rPr>
        <w:t xml:space="preserve">Month 3 onward: 25/75 shifting to 20/80. Driver growth increasingly organic, budget predominantly drives passenger acquisition.</w:t>
      </w:r>
    </w:p>
    <w:p>
      <w:pPr>
        <w:spacing w:after="120"/>
      </w:pPr>
    </w:p>
    <w:p>
      <w:pPr>
        <w:spacing w:after="160" w:line="276"/>
      </w:pPr>
      <w:r>
        <w:rPr>
          <w:rFonts w:ascii="Arial" w:cs="Arial" w:eastAsia="Arial" w:hAnsi="Arial"/>
          <w:b w:val="false"/>
          <w:bCs w:val="false"/>
          <w:i w:val="false"/>
          <w:iCs w:val="false"/>
          <w:color w:val="333333"/>
          <w:sz w:val="21"/>
          <w:szCs w:val="21"/>
        </w:rPr>
        <w:t xml:space="preserve">These ratios are directional. The Agency is expected to adjust weekly — and in some cases daily — based on performance data. If drivers on a corridor are not receiving booking requests within two weeks of route creation, the Agency should immediately shift budget toward passenger acquisition on that corridor. If passengers are searching but finding no available routes, driver acquisition on that corridor should be prioritised.</w:t>
      </w:r>
    </w:p>
    <w:p>
      <w:pPr>
        <w:pStyle w:val="Heading1"/>
      </w:pPr>
      <w:r>
        <w:t xml:space="preserve">11. Ownership and Intellectual Property</w:t>
      </w:r>
    </w:p>
    <w:p>
      <w:pPr>
        <w:spacing w:after="160" w:line="276"/>
      </w:pPr>
      <w:r>
        <w:rPr>
          <w:rFonts w:ascii="Arial" w:cs="Arial" w:eastAsia="Arial" w:hAnsi="Arial"/>
          <w:b w:val="false"/>
          <w:bCs w:val="false"/>
          <w:i w:val="false"/>
          <w:iCs w:val="false"/>
          <w:color w:val="333333"/>
          <w:sz w:val="21"/>
          <w:szCs w:val="21"/>
        </w:rPr>
        <w:t xml:space="preserve">All assets created during this engagement are the property of Conductor.ng. This includes but is not limited to:</w:t>
      </w:r>
    </w:p>
    <w:p>
      <w:pPr>
        <w:pStyle w:val="ListParagraph"/>
        <w:numPr>
          <w:ilvl w:val="0"/>
          <w:numId w:val="2"/>
        </w:numPr>
        <w:spacing w:after="80" w:line="276"/>
      </w:pPr>
      <w:r>
        <w:rPr>
          <w:rFonts w:ascii="Arial" w:cs="Arial" w:eastAsia="Arial" w:hAnsi="Arial"/>
          <w:color w:val="333333"/>
          <w:sz w:val="21"/>
          <w:szCs w:val="21"/>
        </w:rPr>
        <w:t xml:space="preserve">All ad accounts and associated audience data, pixel data, and lookalike audiences</w:t>
      </w:r>
    </w:p>
    <w:p>
      <w:pPr>
        <w:pStyle w:val="ListParagraph"/>
        <w:numPr>
          <w:ilvl w:val="0"/>
          <w:numId w:val="2"/>
        </w:numPr>
        <w:spacing w:after="80" w:line="276"/>
      </w:pPr>
      <w:r>
        <w:rPr>
          <w:rFonts w:ascii="Arial" w:cs="Arial" w:eastAsia="Arial" w:hAnsi="Arial"/>
          <w:color w:val="333333"/>
          <w:sz w:val="21"/>
          <w:szCs w:val="21"/>
        </w:rPr>
        <w:t xml:space="preserve">All creative assets — videos, graphics, copy, UGC content, and design files</w:t>
      </w:r>
    </w:p>
    <w:p>
      <w:pPr>
        <w:pStyle w:val="ListParagraph"/>
        <w:numPr>
          <w:ilvl w:val="0"/>
          <w:numId w:val="2"/>
        </w:numPr>
        <w:spacing w:after="80" w:line="276"/>
      </w:pPr>
      <w:r>
        <w:rPr>
          <w:rFonts w:ascii="Arial" w:cs="Arial" w:eastAsia="Arial" w:hAnsi="Arial"/>
          <w:color w:val="333333"/>
          <w:sz w:val="21"/>
          <w:szCs w:val="21"/>
        </w:rPr>
        <w:t xml:space="preserve">All campaign dashboards, reporting templates, and analytics configurations</w:t>
      </w:r>
    </w:p>
    <w:p>
      <w:pPr>
        <w:pStyle w:val="ListParagraph"/>
        <w:numPr>
          <w:ilvl w:val="0"/>
          <w:numId w:val="2"/>
        </w:numPr>
        <w:spacing w:after="80" w:line="276"/>
      </w:pPr>
      <w:r>
        <w:rPr>
          <w:rFonts w:ascii="Arial" w:cs="Arial" w:eastAsia="Arial" w:hAnsi="Arial"/>
          <w:color w:val="333333"/>
          <w:sz w:val="21"/>
          <w:szCs w:val="21"/>
        </w:rPr>
        <w:t xml:space="preserve">All PR content, press materials, and media contact relationships developed on behalf of Conductor</w:t>
      </w:r>
    </w:p>
    <w:p>
      <w:pPr>
        <w:spacing w:after="120"/>
      </w:pPr>
    </w:p>
    <w:p>
      <w:pPr>
        <w:spacing w:after="160" w:line="276"/>
      </w:pPr>
      <w:r>
        <w:rPr>
          <w:rFonts w:ascii="Arial" w:cs="Arial" w:eastAsia="Arial" w:hAnsi="Arial"/>
          <w:b w:val="false"/>
          <w:bCs w:val="false"/>
          <w:i w:val="false"/>
          <w:iCs w:val="false"/>
          <w:color w:val="333333"/>
          <w:sz w:val="21"/>
          <w:szCs w:val="21"/>
        </w:rPr>
        <w:t xml:space="preserve">The Agency is granted operational access to all accounts and assets for the duration of the engagement. The Agency may not use Conductor’s creative assets, campaign data, or audience insights for any other client or purpose without written consent from the Company.</w:t>
      </w:r>
    </w:p>
    <w:p>
      <w:pPr>
        <w:pStyle w:val="Heading1"/>
      </w:pPr>
      <w:r>
        <w:t xml:space="preserve">12. Offboarding</w:t>
      </w:r>
    </w:p>
    <w:p>
      <w:pPr>
        <w:spacing w:after="160" w:line="276"/>
      </w:pPr>
      <w:r>
        <w:rPr>
          <w:rFonts w:ascii="Arial" w:cs="Arial" w:eastAsia="Arial" w:hAnsi="Arial"/>
          <w:b w:val="false"/>
          <w:bCs w:val="false"/>
          <w:i w:val="false"/>
          <w:iCs w:val="false"/>
          <w:color w:val="333333"/>
          <w:sz w:val="21"/>
          <w:szCs w:val="21"/>
        </w:rPr>
        <w:t xml:space="preserve">Upon termination of this Agreement, the Agency shall within 7 business days:</w:t>
      </w:r>
    </w:p>
    <w:p>
      <w:pPr>
        <w:pStyle w:val="ListParagraph"/>
        <w:numPr>
          <w:ilvl w:val="0"/>
          <w:numId w:val="2"/>
        </w:numPr>
        <w:spacing w:after="80" w:line="276"/>
      </w:pPr>
      <w:r>
        <w:rPr>
          <w:rFonts w:ascii="Arial" w:cs="Arial" w:eastAsia="Arial" w:hAnsi="Arial"/>
          <w:color w:val="333333"/>
          <w:sz w:val="21"/>
          <w:szCs w:val="21"/>
        </w:rPr>
        <w:t xml:space="preserve">Provide a complete offboarding report summarising all campaign activities, performance data, and strategic recommendations</w:t>
      </w:r>
    </w:p>
    <w:p>
      <w:pPr>
        <w:pStyle w:val="ListParagraph"/>
        <w:numPr>
          <w:ilvl w:val="0"/>
          <w:numId w:val="2"/>
        </w:numPr>
        <w:spacing w:after="80" w:line="276"/>
      </w:pPr>
      <w:r>
        <w:rPr>
          <w:rFonts w:ascii="Arial" w:cs="Arial" w:eastAsia="Arial" w:hAnsi="Arial"/>
          <w:color w:val="333333"/>
          <w:sz w:val="21"/>
          <w:szCs w:val="21"/>
        </w:rPr>
        <w:t xml:space="preserve">Transfer full administrative access to all ad accounts, dashboards, and analytics tools to the Company</w:t>
      </w:r>
    </w:p>
    <w:p>
      <w:pPr>
        <w:pStyle w:val="ListParagraph"/>
        <w:numPr>
          <w:ilvl w:val="0"/>
          <w:numId w:val="2"/>
        </w:numPr>
        <w:spacing w:after="80" w:line="276"/>
      </w:pPr>
      <w:r>
        <w:rPr>
          <w:rFonts w:ascii="Arial" w:cs="Arial" w:eastAsia="Arial" w:hAnsi="Arial"/>
          <w:color w:val="333333"/>
          <w:sz w:val="21"/>
          <w:szCs w:val="21"/>
        </w:rPr>
        <w:t xml:space="preserve">Deliver all creative assets, design source files, and content libraries to the Company</w:t>
      </w:r>
    </w:p>
    <w:p>
      <w:pPr>
        <w:pStyle w:val="ListParagraph"/>
        <w:numPr>
          <w:ilvl w:val="0"/>
          <w:numId w:val="2"/>
        </w:numPr>
        <w:spacing w:after="80" w:line="276"/>
      </w:pPr>
      <w:r>
        <w:rPr>
          <w:rFonts w:ascii="Arial" w:cs="Arial" w:eastAsia="Arial" w:hAnsi="Arial"/>
          <w:color w:val="333333"/>
          <w:sz w:val="21"/>
          <w:szCs w:val="21"/>
        </w:rPr>
        <w:t xml:space="preserve">Remove Agency team members’ access from all Company platforms and accounts</w:t>
      </w:r>
    </w:p>
    <w:p>
      <w:pPr>
        <w:pStyle w:val="ListParagraph"/>
        <w:numPr>
          <w:ilvl w:val="0"/>
          <w:numId w:val="2"/>
        </w:numPr>
        <w:spacing w:after="80" w:line="276"/>
      </w:pPr>
      <w:r>
        <w:rPr>
          <w:rFonts w:ascii="Arial" w:cs="Arial" w:eastAsia="Arial" w:hAnsi="Arial"/>
          <w:color w:val="333333"/>
          <w:sz w:val="21"/>
          <w:szCs w:val="21"/>
        </w:rPr>
        <w:t xml:space="preserve">Provide a summary of active campaigns, audience segments, and pending creative that the Company or a successor agency can continue without disruption</w:t>
      </w:r>
    </w:p>
    <w:p>
      <w:pPr>
        <w:pStyle w:val="Heading1"/>
      </w:pPr>
      <w:r>
        <w:t xml:space="preserve">13. Confidentiality</w:t>
      </w:r>
    </w:p>
    <w:p>
      <w:pPr>
        <w:spacing w:after="160" w:line="276"/>
      </w:pPr>
      <w:r>
        <w:rPr>
          <w:rFonts w:ascii="Arial" w:cs="Arial" w:eastAsia="Arial" w:hAnsi="Arial"/>
          <w:b w:val="false"/>
          <w:bCs w:val="false"/>
          <w:i w:val="false"/>
          <w:iCs w:val="false"/>
          <w:color w:val="333333"/>
          <w:sz w:val="21"/>
          <w:szCs w:val="21"/>
        </w:rPr>
        <w:t xml:space="preserve">All information shared during this engagement is confidential. This includes but is not limited to: campaign data and performance metrics, crisis context documents, user research findings, marketplace activity data, internal strategy documents, financial arrangements, and any information about the Company’s product, users, or operations.</w:t>
      </w:r>
    </w:p>
    <w:p>
      <w:pPr>
        <w:spacing w:after="160" w:line="276"/>
      </w:pPr>
      <w:r>
        <w:rPr>
          <w:rFonts w:ascii="Arial" w:cs="Arial" w:eastAsia="Arial" w:hAnsi="Arial"/>
          <w:b w:val="false"/>
          <w:bCs w:val="false"/>
          <w:i w:val="false"/>
          <w:iCs w:val="false"/>
          <w:color w:val="333333"/>
          <w:sz w:val="21"/>
          <w:szCs w:val="21"/>
        </w:rPr>
        <w:t xml:space="preserve">The Agency shall not disclose any confidential information to third parties without prior written consent from the Company. This obligation survives the termination of this Agreement for a period of 12 months.</w:t>
      </w:r>
    </w:p>
    <w:p>
      <w:pPr>
        <w:spacing w:after="160" w:line="276"/>
      </w:pPr>
      <w:r>
        <w:rPr>
          <w:rFonts w:ascii="Arial" w:cs="Arial" w:eastAsia="Arial" w:hAnsi="Arial"/>
          <w:b w:val="false"/>
          <w:bCs w:val="false"/>
          <w:i w:val="false"/>
          <w:iCs w:val="false"/>
          <w:color w:val="333333"/>
          <w:sz w:val="21"/>
          <w:szCs w:val="21"/>
        </w:rPr>
        <w:t xml:space="preserve">The Agency may reference the engagement in its portfolio and marketing materials (e.g., “TechDella provided CMO-as-a-Service to Conductor.ng”) but shall not disclose specific performance data, financial terms, or strategic details without written consent.</w:t>
      </w:r>
    </w:p>
    <w:p>
      <w:pPr>
        <w:pStyle w:val="Heading1"/>
      </w:pPr>
      <w:r>
        <w:t xml:space="preserve">14. Data Protection and Privacy</w:t>
      </w:r>
    </w:p>
    <w:p>
      <w:pPr>
        <w:spacing w:after="160" w:line="276"/>
      </w:pPr>
      <w:r>
        <w:rPr>
          <w:rFonts w:ascii="Arial" w:cs="Arial" w:eastAsia="Arial" w:hAnsi="Arial"/>
          <w:b w:val="false"/>
          <w:bCs w:val="false"/>
          <w:i w:val="false"/>
          <w:iCs w:val="false"/>
          <w:color w:val="333333"/>
          <w:sz w:val="21"/>
          <w:szCs w:val="21"/>
        </w:rPr>
        <w:t xml:space="preserve">The Agency shall handle all user data accessed during this engagement in compliance with the Nigeria Data Protection Act 2023 (NDPA) and any applicable data protection regulations.</w:t>
      </w:r>
    </w:p>
    <w:p>
      <w:pPr>
        <w:spacing w:after="160" w:line="276"/>
      </w:pPr>
      <w:r>
        <w:rPr>
          <w:rFonts w:ascii="Arial" w:cs="Arial" w:eastAsia="Arial" w:hAnsi="Arial"/>
          <w:b w:val="false"/>
          <w:bCs w:val="false"/>
          <w:i w:val="false"/>
          <w:iCs w:val="false"/>
          <w:color w:val="333333"/>
          <w:sz w:val="21"/>
          <w:szCs w:val="21"/>
        </w:rPr>
        <w:t xml:space="preserve">User data accessed through the Company’s analytics platforms (including Mixpanel), ad account audience data, and any personally identifiable information encountered during user research sessions shall be used solely for the purposes of this engagement.</w:t>
      </w:r>
    </w:p>
    <w:p>
      <w:pPr>
        <w:spacing w:after="160" w:line="276"/>
      </w:pPr>
      <w:r>
        <w:rPr>
          <w:rFonts w:ascii="Arial" w:cs="Arial" w:eastAsia="Arial" w:hAnsi="Arial"/>
          <w:b w:val="false"/>
          <w:bCs w:val="false"/>
          <w:i w:val="false"/>
          <w:iCs w:val="false"/>
          <w:color w:val="333333"/>
          <w:sz w:val="21"/>
          <w:szCs w:val="21"/>
        </w:rPr>
        <w:t xml:space="preserve">The Agency shall not export, copy, share, or use user data for any purpose outside the scope of this Agreement. The Agency shall not transfer user data to any third party without prior written consent from the Company.</w:t>
      </w:r>
    </w:p>
    <w:p>
      <w:pPr>
        <w:spacing w:after="160" w:line="276"/>
      </w:pPr>
      <w:r>
        <w:rPr>
          <w:rFonts w:ascii="Arial" w:cs="Arial" w:eastAsia="Arial" w:hAnsi="Arial"/>
          <w:b w:val="false"/>
          <w:bCs w:val="false"/>
          <w:i w:val="false"/>
          <w:iCs w:val="false"/>
          <w:color w:val="333333"/>
          <w:sz w:val="21"/>
          <w:szCs w:val="21"/>
        </w:rPr>
        <w:t xml:space="preserve">Upon termination of this Agreement, the Agency shall delete all user data in its possession within 14 days and provide written confirmation of deletion to the Company.</w:t>
      </w:r>
    </w:p>
    <w:p>
      <w:pPr>
        <w:pStyle w:val="Heading1"/>
      </w:pPr>
      <w:r>
        <w:t xml:space="preserve">15. Non-Solicitation and Non-Compete</w:t>
      </w:r>
    </w:p>
    <w:p>
      <w:pPr>
        <w:pStyle w:val="Heading2"/>
      </w:pPr>
      <w:r>
        <w:t xml:space="preserve">15.1 Non-Solicitation</w:t>
      </w:r>
    </w:p>
    <w:p>
      <w:pPr>
        <w:spacing w:after="160" w:line="276"/>
      </w:pPr>
      <w:r>
        <w:rPr>
          <w:rFonts w:ascii="Arial" w:cs="Arial" w:eastAsia="Arial" w:hAnsi="Arial"/>
          <w:b w:val="false"/>
          <w:bCs w:val="false"/>
          <w:i w:val="false"/>
          <w:iCs w:val="false"/>
          <w:color w:val="333333"/>
          <w:sz w:val="21"/>
          <w:szCs w:val="21"/>
        </w:rPr>
        <w:t xml:space="preserve">During the term of this Agreement and for 6 months following termination, neither Party shall directly solicit, recruit, or hire employees, contractors, or key personnel of the other Party without prior written consent. This applies to all personnel involved in the execution of this Agreement.</w:t>
      </w:r>
    </w:p>
    <w:p>
      <w:pPr>
        <w:spacing w:after="120"/>
      </w:pPr>
    </w:p>
    <w:p>
      <w:pPr>
        <w:pStyle w:val="Heading2"/>
      </w:pPr>
      <w:r>
        <w:t xml:space="preserve">15.2 Non-Compete</w:t>
      </w:r>
    </w:p>
    <w:p>
      <w:pPr>
        <w:spacing w:after="160" w:line="276"/>
      </w:pPr>
      <w:r>
        <w:rPr>
          <w:rFonts w:ascii="Arial" w:cs="Arial" w:eastAsia="Arial" w:hAnsi="Arial"/>
          <w:b w:val="false"/>
          <w:bCs w:val="false"/>
          <w:i w:val="false"/>
          <w:iCs w:val="false"/>
          <w:color w:val="333333"/>
          <w:sz w:val="21"/>
          <w:szCs w:val="21"/>
        </w:rPr>
        <w:t xml:space="preserve">During the term of this Agreement and for 6 months following termination, the Agency shall not provide marketing, growth, CMO-as-a-Service, or campaign management services to any direct competitor of Conductor in the Nigerian market.</w:t>
      </w:r>
    </w:p>
    <w:p>
      <w:pPr>
        <w:spacing w:after="160" w:line="276"/>
      </w:pPr>
      <w:r>
        <w:rPr>
          <w:rFonts w:ascii="Arial" w:cs="Arial" w:eastAsia="Arial" w:hAnsi="Arial"/>
          <w:b w:val="false"/>
          <w:bCs w:val="false"/>
          <w:i w:val="false"/>
          <w:iCs w:val="false"/>
          <w:color w:val="333333"/>
          <w:sz w:val="21"/>
          <w:szCs w:val="21"/>
        </w:rPr>
        <w:t xml:space="preserve">For the purposes of this clause, a “direct competitor” is defined as any platform, application, or service that operates as a scheduled carpooling service, commuter ride-sharing service, or employer-sponsored commute platform in Nigeria. This includes but is not limited to any successor or equivalent to GoMyWay, Shuttlers, or any similar service that matches drivers and passengers for recurring commute journeys.</w:t>
      </w:r>
    </w:p>
    <w:p>
      <w:pPr>
        <w:spacing w:after="160" w:line="276"/>
      </w:pPr>
      <w:r>
        <w:rPr>
          <w:rFonts w:ascii="Arial" w:cs="Arial" w:eastAsia="Arial" w:hAnsi="Arial"/>
          <w:b w:val="false"/>
          <w:bCs w:val="false"/>
          <w:i w:val="false"/>
          <w:iCs w:val="false"/>
          <w:color w:val="333333"/>
          <w:sz w:val="21"/>
          <w:szCs w:val="21"/>
        </w:rPr>
        <w:t xml:space="preserve">This clause does not restrict the Agency from working with on-demand ride-hailing platforms (such as Uber, Bolt, or inDrive), logistics companies, general transportation services, or any other business that does not directly compete with Conductor’s scheduled carpooling model.</w:t>
      </w:r>
    </w:p>
    <w:p>
      <w:pPr>
        <w:pStyle w:val="Heading1"/>
      </w:pPr>
      <w:r>
        <w:t xml:space="preserve">16. Term, Renewal, and Termination</w:t>
      </w:r>
    </w:p>
    <w:p>
      <w:pPr>
        <w:pStyle w:val="Heading2"/>
      </w:pPr>
      <w:r>
        <w:t xml:space="preserve">16.1 Initial Term</w:t>
      </w:r>
    </w:p>
    <w:p>
      <w:pPr>
        <w:spacing w:after="160" w:line="276"/>
      </w:pPr>
      <w:r>
        <w:rPr>
          <w:rFonts w:ascii="Arial" w:cs="Arial" w:eastAsia="Arial" w:hAnsi="Arial"/>
          <w:b w:val="false"/>
          <w:bCs w:val="false"/>
          <w:i w:val="false"/>
          <w:iCs w:val="false"/>
          <w:color w:val="333333"/>
          <w:sz w:val="21"/>
          <w:szCs w:val="21"/>
        </w:rPr>
        <w:t xml:space="preserve">This Agreement commences on the date of execution and continues through the trial period (June and July 2026). Following a successful trial period review (Section 8.3), the Agreement continues on a rolling monthly basis until terminated by either Party.</w:t>
      </w:r>
    </w:p>
    <w:p>
      <w:pPr>
        <w:spacing w:after="120"/>
      </w:pPr>
    </w:p>
    <w:p>
      <w:pPr>
        <w:pStyle w:val="Heading2"/>
      </w:pPr>
      <w:r>
        <w:t xml:space="preserve">16.2 Renewal and Extension</w:t>
      </w:r>
    </w:p>
    <w:p>
      <w:pPr>
        <w:spacing w:after="160" w:line="276"/>
      </w:pPr>
      <w:r>
        <w:rPr>
          <w:rFonts w:ascii="Arial" w:cs="Arial" w:eastAsia="Arial" w:hAnsi="Arial"/>
          <w:b w:val="false"/>
          <w:bCs w:val="false"/>
          <w:i w:val="false"/>
          <w:iCs w:val="false"/>
          <w:color w:val="333333"/>
          <w:sz w:val="21"/>
          <w:szCs w:val="21"/>
        </w:rPr>
        <w:t xml:space="preserve">Following the trial period, this Agreement automatically renews on a monthly basis under the same terms unless either Party provides written notice of termination or either Party proposes amended terms in writing. Amended terms take effect only upon mutual written agreement.</w:t>
      </w:r>
    </w:p>
    <w:p>
      <w:pPr>
        <w:spacing w:after="160" w:line="276"/>
      </w:pPr>
      <w:r>
        <w:rPr>
          <w:rFonts w:ascii="Arial" w:cs="Arial" w:eastAsia="Arial" w:hAnsi="Arial"/>
          <w:b w:val="false"/>
          <w:bCs w:val="false"/>
          <w:i w:val="false"/>
          <w:iCs w:val="false"/>
          <w:color w:val="333333"/>
          <w:sz w:val="21"/>
          <w:szCs w:val="21"/>
        </w:rPr>
        <w:t xml:space="preserve">If the Parties wish to formalise a longer-term engagement — for example, extending the Agreement for an additional 6 or 12 months with adjusted targets, expanded scope, or increased budget — either Party may propose such an extension in writing at any time. Extended terms shall be documented as a written amendment to this Agreement, signed by both Parties.</w:t>
      </w:r>
    </w:p>
    <w:p>
      <w:pPr>
        <w:spacing w:after="120"/>
      </w:pPr>
    </w:p>
    <w:p>
      <w:pPr>
        <w:pStyle w:val="Heading2"/>
      </w:pPr>
      <w:r>
        <w:t xml:space="preserve">16.3 Termination During Trial Period</w:t>
      </w:r>
    </w:p>
    <w:p>
      <w:pPr>
        <w:spacing w:after="160" w:line="276"/>
      </w:pPr>
      <w:r>
        <w:rPr>
          <w:rFonts w:ascii="Arial" w:cs="Arial" w:eastAsia="Arial" w:hAnsi="Arial"/>
          <w:b w:val="false"/>
          <w:bCs w:val="false"/>
          <w:i w:val="false"/>
          <w:iCs w:val="false"/>
          <w:color w:val="333333"/>
          <w:sz w:val="21"/>
          <w:szCs w:val="21"/>
        </w:rPr>
        <w:t xml:space="preserve">During the trial period (June and July 2026), either Party may terminate this Agreement with 7 days written notice following the trial period review described in Section 8.3.</w:t>
      </w:r>
    </w:p>
    <w:p>
      <w:pPr>
        <w:spacing w:after="120"/>
      </w:pPr>
    </w:p>
    <w:p>
      <w:pPr>
        <w:pStyle w:val="Heading2"/>
      </w:pPr>
      <w:r>
        <w:t xml:space="preserve">16.4 Termination After Trial Period</w:t>
      </w:r>
    </w:p>
    <w:p>
      <w:pPr>
        <w:spacing w:after="160" w:line="276"/>
      </w:pPr>
      <w:r>
        <w:rPr>
          <w:rFonts w:ascii="Arial" w:cs="Arial" w:eastAsia="Arial" w:hAnsi="Arial"/>
          <w:b w:val="false"/>
          <w:bCs w:val="false"/>
          <w:i w:val="false"/>
          <w:iCs w:val="false"/>
          <w:color w:val="333333"/>
          <w:sz w:val="21"/>
          <w:szCs w:val="21"/>
        </w:rPr>
        <w:t xml:space="preserve">Following the trial period, either Party may terminate this Agreement with 30 days written notice.</w:t>
      </w:r>
    </w:p>
    <w:p>
      <w:pPr>
        <w:spacing w:after="120"/>
      </w:pPr>
    </w:p>
    <w:p>
      <w:pPr>
        <w:pStyle w:val="Heading2"/>
      </w:pPr>
      <w:r>
        <w:t xml:space="preserve">16.5 Termination for Material Breach</w:t>
      </w:r>
    </w:p>
    <w:p>
      <w:pPr>
        <w:spacing w:after="160" w:line="276"/>
      </w:pPr>
      <w:r>
        <w:rPr>
          <w:rFonts w:ascii="Arial" w:cs="Arial" w:eastAsia="Arial" w:hAnsi="Arial"/>
          <w:b w:val="false"/>
          <w:bCs w:val="false"/>
          <w:i w:val="false"/>
          <w:iCs w:val="false"/>
          <w:color w:val="333333"/>
          <w:sz w:val="21"/>
          <w:szCs w:val="21"/>
        </w:rPr>
        <w:t xml:space="preserve">In the event of a material breach of this Agreement by either Party — including but not limited to failure to deliver reports for 5 consecutive business days, misuse of advertising funds, disclosure of confidential information, or abandonment of campaign management responsibilities — the non-breaching Party may terminate immediately with written notice.</w:t>
      </w:r>
    </w:p>
    <w:p>
      <w:pPr>
        <w:spacing w:after="120"/>
      </w:pPr>
    </w:p>
    <w:p>
      <w:pPr>
        <w:pStyle w:val="Heading2"/>
      </w:pPr>
      <w:r>
        <w:t xml:space="preserve">16.6 Post-Termination Obligations</w:t>
      </w:r>
    </w:p>
    <w:p>
      <w:pPr>
        <w:spacing w:after="160" w:line="276"/>
      </w:pPr>
      <w:r>
        <w:rPr>
          <w:rFonts w:ascii="Arial" w:cs="Arial" w:eastAsia="Arial" w:hAnsi="Arial"/>
          <w:b w:val="false"/>
          <w:bCs w:val="false"/>
          <w:i w:val="false"/>
          <w:iCs w:val="false"/>
          <w:color w:val="333333"/>
          <w:sz w:val="21"/>
          <w:szCs w:val="21"/>
        </w:rPr>
        <w:t xml:space="preserve">Upon termination, all outstanding Base Retainer and Performance-Linked Retainer payments for services already rendered shall be settled within 14 business days. The offboarding process described in Section 12 shall be completed within 7 business days of the termination date.</w:t>
      </w:r>
    </w:p>
    <w:p>
      <w:pPr>
        <w:pStyle w:val="Heading1"/>
      </w:pPr>
      <w:r>
        <w:t xml:space="preserve">17. Communication and Day-to-Day Contact</w:t>
      </w:r>
    </w:p>
    <w:p>
      <w:pPr>
        <w:spacing w:after="160" w:line="276"/>
      </w:pPr>
      <w:r>
        <w:rPr>
          <w:rFonts w:ascii="Arial" w:cs="Arial" w:eastAsia="Arial" w:hAnsi="Arial"/>
          <w:b w:val="false"/>
          <w:bCs w:val="false"/>
          <w:i w:val="false"/>
          <w:iCs w:val="false"/>
          <w:color w:val="333333"/>
          <w:sz w:val="21"/>
          <w:szCs w:val="21"/>
        </w:rPr>
        <w:t xml:space="preserve">The Agency’s primary day-to-day contact for this engagement is Emmanuel Kalu, Growth Strategy Lead at TechDella. Emmanuel is the Company’s point of contact for strategy, creative direction, performance reviews, escalations, and all daily communication.</w:t>
      </w:r>
    </w:p>
    <w:p>
      <w:pPr>
        <w:spacing w:after="160" w:line="276"/>
      </w:pPr>
      <w:r>
        <w:rPr>
          <w:rFonts w:ascii="Arial" w:cs="Arial" w:eastAsia="Arial" w:hAnsi="Arial"/>
          <w:b w:val="false"/>
          <w:bCs w:val="false"/>
          <w:i w:val="false"/>
          <w:iCs w:val="false"/>
          <w:color w:val="333333"/>
          <w:sz w:val="21"/>
          <w:szCs w:val="21"/>
        </w:rPr>
        <w:t xml:space="preserve">The Parties shall use ClickUp as the primary project management and communication tool for this engagement. All briefs, approvals, feedback, and task tracking shall be managed through ClickUp to ensure visibility across both teams.</w:t>
      </w:r>
    </w:p>
    <w:p>
      <w:pPr>
        <w:spacing w:after="160" w:line="276"/>
      </w:pPr>
      <w:r>
        <w:rPr>
          <w:rFonts w:ascii="Arial" w:cs="Arial" w:eastAsia="Arial" w:hAnsi="Arial"/>
          <w:b w:val="false"/>
          <w:bCs w:val="false"/>
          <w:i w:val="false"/>
          <w:iCs w:val="false"/>
          <w:color w:val="333333"/>
          <w:sz w:val="21"/>
          <w:szCs w:val="21"/>
        </w:rPr>
        <w:t xml:space="preserve">The Company expects the Agency to take actions and make decisions based on data, and to report back to defend those actions. The Agency does not need prior approval to pause underperforming ads, shift budget between channels, or retire underperforming creative formats, subject to the creative approval process in Section 7. The Agency must report and justify all such decisions in the daily or weekly report.</w:t>
      </w:r>
    </w:p>
    <w:p>
      <w:pPr>
        <w:pStyle w:val="Heading1"/>
      </w:pPr>
      <w:r>
        <w:t xml:space="preserve">18. Platform Disruptions and Force Majeure</w:t>
      </w:r>
    </w:p>
    <w:p>
      <w:pPr>
        <w:spacing w:after="160" w:line="276"/>
      </w:pPr>
      <w:r>
        <w:rPr>
          <w:rFonts w:ascii="Arial" w:cs="Arial" w:eastAsia="Arial" w:hAnsi="Arial"/>
          <w:b w:val="false"/>
          <w:bCs w:val="false"/>
          <w:i w:val="false"/>
          <w:iCs w:val="false"/>
          <w:color w:val="333333"/>
          <w:sz w:val="21"/>
          <w:szCs w:val="21"/>
        </w:rPr>
        <w:t xml:space="preserve">If platform disruptions (including but not limited to Meta, TikTok, YouTube, or Google policy changes, outages, or account suspensions), regulatory changes, industry-wide cost increases, or other events beyond the Agency’s reasonable control materially impact campaign performance, the Parties shall jointly review targets and adjust by mutual written agreement.</w:t>
      </w:r>
    </w:p>
    <w:p>
      <w:pPr>
        <w:spacing w:after="160" w:line="276"/>
      </w:pPr>
      <w:r>
        <w:rPr>
          <w:rFonts w:ascii="Arial" w:cs="Arial" w:eastAsia="Arial" w:hAnsi="Arial"/>
          <w:b w:val="false"/>
          <w:bCs w:val="false"/>
          <w:i w:val="false"/>
          <w:iCs w:val="false"/>
          <w:color w:val="333333"/>
          <w:sz w:val="21"/>
          <w:szCs w:val="21"/>
        </w:rPr>
        <w:t xml:space="preserve">Such events do not automatically constitute grounds for termination, nor do they relieve the Agency of its reporting and communication obligations. The Agency shall notify the Company of any such event within 24 hours and propose an adjusted plan within 5 business days.</w:t>
      </w:r>
    </w:p>
    <w:p>
      <w:pPr>
        <w:pStyle w:val="Heading1"/>
      </w:pPr>
      <w:r>
        <w:t xml:space="preserve">19. Limitation of Liability</w:t>
      </w:r>
    </w:p>
    <w:p>
      <w:pPr>
        <w:spacing w:after="160" w:line="276"/>
      </w:pPr>
      <w:r>
        <w:rPr>
          <w:rFonts w:ascii="Arial" w:cs="Arial" w:eastAsia="Arial" w:hAnsi="Arial"/>
          <w:b w:val="false"/>
          <w:bCs w:val="false"/>
          <w:i w:val="false"/>
          <w:iCs w:val="false"/>
          <w:color w:val="333333"/>
          <w:sz w:val="21"/>
          <w:szCs w:val="21"/>
        </w:rPr>
        <w:t xml:space="preserve">Neither Party’s total liability under this Agreement shall exceed the total fees paid or payable during the 3-month period preceding the event giving rise to the claim.</w:t>
      </w:r>
    </w:p>
    <w:p>
      <w:pPr>
        <w:spacing w:after="160" w:line="276"/>
      </w:pPr>
      <w:r>
        <w:rPr>
          <w:rFonts w:ascii="Arial" w:cs="Arial" w:eastAsia="Arial" w:hAnsi="Arial"/>
          <w:b w:val="false"/>
          <w:bCs w:val="false"/>
          <w:i w:val="false"/>
          <w:iCs w:val="false"/>
          <w:color w:val="333333"/>
          <w:sz w:val="21"/>
          <w:szCs w:val="21"/>
        </w:rPr>
        <w:t xml:space="preserve">Neither Party shall be liable for indirect, consequential, incidental, or punitive damages arising from or related to this Agreement, including but not limited to lost profits, lost data, or business interruption, regardless of whether such damages were foreseeable.</w:t>
      </w:r>
    </w:p>
    <w:p>
      <w:pPr>
        <w:spacing w:after="160" w:line="276"/>
      </w:pPr>
      <w:r>
        <w:rPr>
          <w:rFonts w:ascii="Arial" w:cs="Arial" w:eastAsia="Arial" w:hAnsi="Arial"/>
          <w:b w:val="false"/>
          <w:bCs w:val="false"/>
          <w:i w:val="false"/>
          <w:iCs w:val="false"/>
          <w:color w:val="333333"/>
          <w:sz w:val="21"/>
          <w:szCs w:val="21"/>
        </w:rPr>
        <w:t xml:space="preserve">Nothing in this clause limits liability for fraud, wilful misconduct, or breach of confidentiality.</w:t>
      </w:r>
    </w:p>
    <w:p>
      <w:pPr>
        <w:pStyle w:val="Heading1"/>
      </w:pPr>
      <w:r>
        <w:t xml:space="preserve">20. Dispute Resolution</w:t>
      </w:r>
    </w:p>
    <w:p>
      <w:pPr>
        <w:spacing w:after="160" w:line="276"/>
      </w:pPr>
      <w:r>
        <w:rPr>
          <w:rFonts w:ascii="Arial" w:cs="Arial" w:eastAsia="Arial" w:hAnsi="Arial"/>
          <w:b w:val="false"/>
          <w:bCs w:val="false"/>
          <w:i w:val="false"/>
          <w:iCs w:val="false"/>
          <w:color w:val="333333"/>
          <w:sz w:val="21"/>
          <w:szCs w:val="21"/>
        </w:rPr>
        <w:t xml:space="preserve">Any dispute arising from or related to this Agreement shall first be addressed through good-faith negotiation between the Parties. The Parties shall make reasonable efforts to resolve any dispute within 14 days of written notice.</w:t>
      </w:r>
    </w:p>
    <w:p>
      <w:pPr>
        <w:spacing w:after="160" w:line="276"/>
      </w:pPr>
      <w:r>
        <w:rPr>
          <w:rFonts w:ascii="Arial" w:cs="Arial" w:eastAsia="Arial" w:hAnsi="Arial"/>
          <w:b w:val="false"/>
          <w:bCs w:val="false"/>
          <w:i w:val="false"/>
          <w:iCs w:val="false"/>
          <w:color w:val="333333"/>
          <w:sz w:val="21"/>
          <w:szCs w:val="21"/>
        </w:rPr>
        <w:t xml:space="preserve">If the dispute remains unresolved after 14 days of negotiation, either Party may refer the dispute to mediation administered by a mutually agreed mediator. Mediation costs shall be shared equally.</w:t>
      </w:r>
    </w:p>
    <w:p>
      <w:pPr>
        <w:spacing w:after="160" w:line="276"/>
      </w:pPr>
      <w:r>
        <w:rPr>
          <w:rFonts w:ascii="Arial" w:cs="Arial" w:eastAsia="Arial" w:hAnsi="Arial"/>
          <w:b w:val="false"/>
          <w:bCs w:val="false"/>
          <w:i w:val="false"/>
          <w:iCs w:val="false"/>
          <w:color w:val="333333"/>
          <w:sz w:val="21"/>
          <w:szCs w:val="21"/>
        </w:rPr>
        <w:t xml:space="preserve">If mediation fails to resolve the dispute within 30 days of referral, either Party may pursue legal remedies under the laws of the Federal Republic of Nigeria, with the courts of Lagos State having exclusive jurisdiction.</w:t>
      </w:r>
    </w:p>
    <w:p>
      <w:pPr>
        <w:pStyle w:val="Heading1"/>
      </w:pPr>
      <w:r>
        <w:t xml:space="preserve">21. General Provisions</w:t>
      </w:r>
    </w:p>
    <w:p>
      <w:pPr>
        <w:spacing w:after="160" w:line="276"/>
      </w:pPr>
      <w:r>
        <w:rPr>
          <w:rFonts w:ascii="Arial" w:cs="Arial" w:eastAsia="Arial" w:hAnsi="Arial"/>
          <w:b w:val="false"/>
          <w:bCs w:val="false"/>
          <w:i w:val="false"/>
          <w:iCs w:val="false"/>
          <w:color w:val="333333"/>
          <w:sz w:val="21"/>
          <w:szCs w:val="21"/>
        </w:rPr>
        <w:t xml:space="preserve">This Agreement constitutes the entire understanding between the Parties regarding the subject matter herein and supersedes all prior discussions, proposals, and agreements, including the Agency’s original proposal dated April 14, 2026.</w:t>
      </w:r>
    </w:p>
    <w:p>
      <w:pPr>
        <w:spacing w:after="160" w:line="276"/>
      </w:pPr>
      <w:r>
        <w:rPr>
          <w:rFonts w:ascii="Arial" w:cs="Arial" w:eastAsia="Arial" w:hAnsi="Arial"/>
          <w:b w:val="false"/>
          <w:bCs w:val="false"/>
          <w:i w:val="false"/>
          <w:iCs w:val="false"/>
          <w:color w:val="333333"/>
          <w:sz w:val="21"/>
          <w:szCs w:val="21"/>
        </w:rPr>
        <w:t xml:space="preserve">Any amendments to this Agreement must be made in writing and signed by both Parties.</w:t>
      </w:r>
    </w:p>
    <w:p>
      <w:pPr>
        <w:spacing w:after="160" w:line="276"/>
      </w:pPr>
      <w:r>
        <w:rPr>
          <w:rFonts w:ascii="Arial" w:cs="Arial" w:eastAsia="Arial" w:hAnsi="Arial"/>
          <w:b w:val="false"/>
          <w:bCs w:val="false"/>
          <w:i w:val="false"/>
          <w:iCs w:val="false"/>
          <w:color w:val="333333"/>
          <w:sz w:val="21"/>
          <w:szCs w:val="21"/>
        </w:rPr>
        <w:t xml:space="preserve">This Agreement shall be governed by and construed in accordance with the laws of the Federal Republic of Nigeria.</w:t>
      </w:r>
    </w:p>
    <w:p>
      <w:pPr>
        <w:spacing w:after="160" w:line="276"/>
      </w:pPr>
      <w:r>
        <w:rPr>
          <w:rFonts w:ascii="Arial" w:cs="Arial" w:eastAsia="Arial" w:hAnsi="Arial"/>
          <w:b w:val="false"/>
          <w:bCs w:val="false"/>
          <w:i w:val="false"/>
          <w:iCs w:val="false"/>
          <w:color w:val="333333"/>
          <w:sz w:val="21"/>
          <w:szCs w:val="21"/>
        </w:rPr>
        <w:t xml:space="preserve">If any provision of this Agreement is found to be unenforceable, the remaining provisions shall continue in full force and effect.</w:t>
      </w:r>
    </w:p>
    <w:p>
      <w:pPr>
        <w:spacing w:after="160" w:line="276"/>
      </w:pPr>
      <w:r>
        <w:rPr>
          <w:rFonts w:ascii="Arial" w:cs="Arial" w:eastAsia="Arial" w:hAnsi="Arial"/>
          <w:b w:val="false"/>
          <w:bCs w:val="false"/>
          <w:i w:val="false"/>
          <w:iCs w:val="false"/>
          <w:color w:val="333333"/>
          <w:sz w:val="21"/>
          <w:szCs w:val="21"/>
        </w:rPr>
        <w:t xml:space="preserve">Neither Party may assign this Agreement to a third party without the prior written consent of the other Party.</w:t>
      </w:r>
    </w:p>
    <w:p>
      <w:pPr>
        <w:spacing w:after="400"/>
      </w:pPr>
    </w:p>
    <w:p>
      <w:pPr>
        <w:pBdr>
          <w:top w:val="single" w:color="1A1A2E" w:sz="2" w:space="8"/>
        </w:pBdr>
        <w:spacing w:after="300" w:before="400"/>
      </w:pPr>
    </w:p>
    <w:p>
      <w:pPr>
        <w:spacing w:after="160" w:line="276"/>
      </w:pPr>
      <w:r>
        <w:rPr>
          <w:rFonts w:ascii="Arial" w:cs="Arial" w:eastAsia="Arial" w:hAnsi="Arial"/>
          <w:b/>
          <w:bCs/>
          <w:i w:val="false"/>
          <w:iCs w:val="false"/>
          <w:color w:val="333333"/>
          <w:sz w:val="21"/>
          <w:szCs w:val="21"/>
        </w:rPr>
        <w:t xml:space="preserve">FOR CONDUCTOR.NG</w:t>
      </w:r>
    </w:p>
    <w:p>
      <w:pPr>
        <w:spacing w:after="200"/>
      </w:pPr>
    </w:p>
    <w:p>
      <w:pPr>
        <w:spacing w:after="160" w:line="276"/>
      </w:pPr>
      <w:r>
        <w:rPr>
          <w:rFonts w:ascii="Arial" w:cs="Arial" w:eastAsia="Arial" w:hAnsi="Arial"/>
          <w:b w:val="false"/>
          <w:bCs w:val="false"/>
          <w:i w:val="false"/>
          <w:iCs w:val="false"/>
          <w:color w:val="333333"/>
          <w:sz w:val="21"/>
          <w:szCs w:val="21"/>
        </w:rPr>
        <w:t xml:space="preserve">Name: ________________________________</w:t>
      </w:r>
    </w:p>
    <w:p>
      <w:pPr>
        <w:spacing w:after="160" w:line="276"/>
      </w:pPr>
      <w:r>
        <w:rPr>
          <w:rFonts w:ascii="Arial" w:cs="Arial" w:eastAsia="Arial" w:hAnsi="Arial"/>
          <w:b w:val="false"/>
          <w:bCs w:val="false"/>
          <w:i w:val="false"/>
          <w:iCs w:val="false"/>
          <w:color w:val="333333"/>
          <w:sz w:val="21"/>
          <w:szCs w:val="21"/>
        </w:rPr>
        <w:t xml:space="preserve">Title: ________________________________</w:t>
      </w:r>
    </w:p>
    <w:p>
      <w:pPr>
        <w:spacing w:after="160" w:line="276"/>
      </w:pPr>
      <w:r>
        <w:rPr>
          <w:rFonts w:ascii="Arial" w:cs="Arial" w:eastAsia="Arial" w:hAnsi="Arial"/>
          <w:b w:val="false"/>
          <w:bCs w:val="false"/>
          <w:i w:val="false"/>
          <w:iCs w:val="false"/>
          <w:color w:val="333333"/>
          <w:sz w:val="21"/>
          <w:szCs w:val="21"/>
        </w:rPr>
        <w:t xml:space="preserve">Date: ________________________________</w:t>
      </w:r>
    </w:p>
    <w:p>
      <w:pPr>
        <w:spacing w:after="160" w:line="276"/>
      </w:pPr>
      <w:r>
        <w:rPr>
          <w:rFonts w:ascii="Arial" w:cs="Arial" w:eastAsia="Arial" w:hAnsi="Arial"/>
          <w:b w:val="false"/>
          <w:bCs w:val="false"/>
          <w:i w:val="false"/>
          <w:iCs w:val="false"/>
          <w:color w:val="333333"/>
          <w:sz w:val="21"/>
          <w:szCs w:val="21"/>
        </w:rPr>
        <w:t xml:space="preserve">Signature: ____________________________</w:t>
      </w:r>
    </w:p>
    <w:p>
      <w:pPr>
        <w:spacing w:after="200"/>
      </w:pPr>
    </w:p>
    <w:p>
      <w:pPr>
        <w:spacing w:after="160" w:line="276"/>
      </w:pPr>
      <w:r>
        <w:rPr>
          <w:rFonts w:ascii="Arial" w:cs="Arial" w:eastAsia="Arial" w:hAnsi="Arial"/>
          <w:b w:val="false"/>
          <w:bCs w:val="false"/>
          <w:i w:val="false"/>
          <w:iCs w:val="false"/>
          <w:color w:val="333333"/>
          <w:sz w:val="21"/>
          <w:szCs w:val="21"/>
        </w:rPr>
        <w:t xml:space="preserve">Witness Name: ________________________________</w:t>
      </w:r>
    </w:p>
    <w:p>
      <w:pPr>
        <w:spacing w:after="160" w:line="276"/>
      </w:pPr>
      <w:r>
        <w:rPr>
          <w:rFonts w:ascii="Arial" w:cs="Arial" w:eastAsia="Arial" w:hAnsi="Arial"/>
          <w:b w:val="false"/>
          <w:bCs w:val="false"/>
          <w:i w:val="false"/>
          <w:iCs w:val="false"/>
          <w:color w:val="333333"/>
          <w:sz w:val="21"/>
          <w:szCs w:val="21"/>
        </w:rPr>
        <w:t xml:space="preserve">Witness Signature: ____________________________</w:t>
      </w:r>
    </w:p>
    <w:p>
      <w:pPr>
        <w:spacing w:after="160" w:line="276"/>
      </w:pPr>
      <w:r>
        <w:rPr>
          <w:rFonts w:ascii="Arial" w:cs="Arial" w:eastAsia="Arial" w:hAnsi="Arial"/>
          <w:b w:val="false"/>
          <w:bCs w:val="false"/>
          <w:i w:val="false"/>
          <w:iCs w:val="false"/>
          <w:color w:val="333333"/>
          <w:sz w:val="21"/>
          <w:szCs w:val="21"/>
        </w:rPr>
        <w:t xml:space="preserve">Witness Date: ________________________________</w:t>
      </w:r>
    </w:p>
    <w:p>
      <w:pPr>
        <w:spacing w:after="400"/>
      </w:pPr>
    </w:p>
    <w:p>
      <w:pPr>
        <w:spacing w:after="160" w:line="276"/>
      </w:pPr>
      <w:r>
        <w:rPr>
          <w:rFonts w:ascii="Arial" w:cs="Arial" w:eastAsia="Arial" w:hAnsi="Arial"/>
          <w:b/>
          <w:bCs/>
          <w:i w:val="false"/>
          <w:iCs w:val="false"/>
          <w:color w:val="333333"/>
          <w:sz w:val="21"/>
          <w:szCs w:val="21"/>
        </w:rPr>
        <w:t xml:space="preserve">FOR TECHDELLA</w:t>
      </w:r>
    </w:p>
    <w:p>
      <w:pPr>
        <w:spacing w:after="200"/>
      </w:pPr>
    </w:p>
    <w:p>
      <w:pPr>
        <w:spacing w:after="160" w:line="276"/>
      </w:pPr>
      <w:r>
        <w:rPr>
          <w:rFonts w:ascii="Arial" w:cs="Arial" w:eastAsia="Arial" w:hAnsi="Arial"/>
          <w:b w:val="false"/>
          <w:bCs w:val="false"/>
          <w:i w:val="false"/>
          <w:iCs w:val="false"/>
          <w:color w:val="333333"/>
          <w:sz w:val="21"/>
          <w:szCs w:val="21"/>
        </w:rPr>
        <w:t xml:space="preserve">Name: ________________________________</w:t>
      </w:r>
    </w:p>
    <w:p>
      <w:pPr>
        <w:spacing w:after="160" w:line="276"/>
      </w:pPr>
      <w:r>
        <w:rPr>
          <w:rFonts w:ascii="Arial" w:cs="Arial" w:eastAsia="Arial" w:hAnsi="Arial"/>
          <w:b w:val="false"/>
          <w:bCs w:val="false"/>
          <w:i w:val="false"/>
          <w:iCs w:val="false"/>
          <w:color w:val="333333"/>
          <w:sz w:val="21"/>
          <w:szCs w:val="21"/>
        </w:rPr>
        <w:t xml:space="preserve">Title: ________________________________</w:t>
      </w:r>
    </w:p>
    <w:p>
      <w:pPr>
        <w:spacing w:after="160" w:line="276"/>
      </w:pPr>
      <w:r>
        <w:rPr>
          <w:rFonts w:ascii="Arial" w:cs="Arial" w:eastAsia="Arial" w:hAnsi="Arial"/>
          <w:b w:val="false"/>
          <w:bCs w:val="false"/>
          <w:i w:val="false"/>
          <w:iCs w:val="false"/>
          <w:color w:val="333333"/>
          <w:sz w:val="21"/>
          <w:szCs w:val="21"/>
        </w:rPr>
        <w:t xml:space="preserve">Date: ________________________________</w:t>
      </w:r>
    </w:p>
    <w:p>
      <w:pPr>
        <w:spacing w:after="160" w:line="276"/>
      </w:pPr>
      <w:r>
        <w:rPr>
          <w:rFonts w:ascii="Arial" w:cs="Arial" w:eastAsia="Arial" w:hAnsi="Arial"/>
          <w:b w:val="false"/>
          <w:bCs w:val="false"/>
          <w:i w:val="false"/>
          <w:iCs w:val="false"/>
          <w:color w:val="333333"/>
          <w:sz w:val="21"/>
          <w:szCs w:val="21"/>
        </w:rPr>
        <w:t xml:space="preserve">Signature: ____________________________</w:t>
      </w:r>
    </w:p>
    <w:p>
      <w:pPr>
        <w:spacing w:after="200"/>
      </w:pPr>
    </w:p>
    <w:p>
      <w:pPr>
        <w:spacing w:after="160" w:line="276"/>
      </w:pPr>
      <w:r>
        <w:rPr>
          <w:rFonts w:ascii="Arial" w:cs="Arial" w:eastAsia="Arial" w:hAnsi="Arial"/>
          <w:b w:val="false"/>
          <w:bCs w:val="false"/>
          <w:i w:val="false"/>
          <w:iCs w:val="false"/>
          <w:color w:val="333333"/>
          <w:sz w:val="21"/>
          <w:szCs w:val="21"/>
        </w:rPr>
        <w:t xml:space="preserve">Witness Name: ________________________________</w:t>
      </w:r>
    </w:p>
    <w:p>
      <w:pPr>
        <w:spacing w:after="160" w:line="276"/>
      </w:pPr>
      <w:r>
        <w:rPr>
          <w:rFonts w:ascii="Arial" w:cs="Arial" w:eastAsia="Arial" w:hAnsi="Arial"/>
          <w:b w:val="false"/>
          <w:bCs w:val="false"/>
          <w:i w:val="false"/>
          <w:iCs w:val="false"/>
          <w:color w:val="333333"/>
          <w:sz w:val="21"/>
          <w:szCs w:val="21"/>
        </w:rPr>
        <w:t xml:space="preserve">Witness Signature: ____________________________</w:t>
      </w:r>
    </w:p>
    <w:p>
      <w:pPr>
        <w:spacing w:after="160" w:line="276"/>
      </w:pPr>
      <w:r>
        <w:rPr>
          <w:rFonts w:ascii="Arial" w:cs="Arial" w:eastAsia="Arial" w:hAnsi="Arial"/>
          <w:b w:val="false"/>
          <w:bCs w:val="false"/>
          <w:i w:val="false"/>
          <w:iCs w:val="false"/>
          <w:color w:val="333333"/>
          <w:sz w:val="21"/>
          <w:szCs w:val="21"/>
        </w:rPr>
        <w:t xml:space="preserve">Witness Date: ________________________________</w:t>
      </w:r>
    </w:p>
    <w:p>
      <w:pPr>
        <w:spacing w:after="300"/>
      </w:pPr>
    </w:p>
    <w:p>
      <w:pPr>
        <w:jc w:val="center"/>
      </w:pPr>
      <w:r>
        <w:rPr>
          <w:rFonts w:ascii="Arial" w:cs="Arial" w:eastAsia="Arial" w:hAnsi="Arial"/>
          <w:i/>
          <w:iCs/>
          <w:color w:val="999999"/>
          <w:sz w:val="18"/>
          <w:szCs w:val="18"/>
        </w:rPr>
        <w:t xml:space="preserve">Conductor.ng × TechDella — Services Agreement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0E0E0" w:sz="1" w:space="4"/>
      </w:pBdr>
      <w:spacing w:after="200" w:before="360"/>
      <w:outlineLvl w:val="0"/>
    </w:pPr>
    <w:rPr>
      <w:rFonts w:ascii="Arial" w:cs="Arial" w:eastAsia="Arial" w:hAnsi="Arial"/>
      <w:b/>
      <w:bCs/>
      <w:color w:val="1A1A2E"/>
      <w:sz w:val="28"/>
      <w:szCs w:val="28"/>
    </w:rPr>
  </w:style>
  <w:style w:type="paragraph" w:styleId="Heading2">
    <w:name w:val="Heading 2"/>
    <w:basedOn w:val="Normal"/>
    <w:next w:val="Normal"/>
    <w:qFormat/>
    <w:pPr>
      <w:spacing w:after="140" w:before="240"/>
      <w:outlineLvl w:val="1"/>
    </w:pPr>
    <w:rPr>
      <w:rFonts w:ascii="Arial" w:cs="Arial" w:eastAsia="Arial" w:hAnsi="Arial"/>
      <w:b/>
      <w:bCs/>
      <w:color w:val="2D374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2026-04-21T16:34:06.470Z</dcterms:created>
  <dcterms:modified xsi:type="dcterms:W3CDTF">2026-04-21T16:34:06.470Z</dcterms:modified>
</cp:coreProperties>
</file>

<file path=docProps/custom.xml><?xml version="1.0" encoding="utf-8"?>
<Properties xmlns="http://schemas.openxmlformats.org/officeDocument/2006/custom-properties" xmlns:vt="http://schemas.openxmlformats.org/officeDocument/2006/docPropsVTypes"/>
</file>