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E9857">
      <w:pPr>
        <w:pStyle w:val="26"/>
        <w:jc w:val="center"/>
        <w:rPr>
          <w:rFonts w:hint="default" w:ascii="Times New Roman" w:hAnsi="Times New Roman" w:eastAsia="宋体" w:cstheme="minorEastAsia"/>
          <w:i w:val="0"/>
          <w:iCs w:val="0"/>
          <w:sz w:val="36"/>
          <w:szCs w:val="36"/>
          <w:lang w:val="en-US" w:eastAsia="zh-CN"/>
        </w:rPr>
      </w:pPr>
      <w:r>
        <w:rPr>
          <w:rFonts w:hint="default" w:ascii="Times New Roman" w:hAnsi="Times New Roman" w:eastAsia="宋体" w:cstheme="minorEastAsia"/>
          <w:i w:val="0"/>
          <w:iCs w:val="0"/>
          <w:sz w:val="36"/>
          <w:szCs w:val="36"/>
        </w:rPr>
        <w:t>模型训练</w:t>
      </w:r>
      <w:r>
        <w:rPr>
          <w:rFonts w:hint="default" w:ascii="Times New Roman" w:hAnsi="Times New Roman" w:eastAsia="宋体" w:cstheme="minorEastAsia"/>
          <w:i w:val="0"/>
          <w:iCs w:val="0"/>
          <w:sz w:val="36"/>
          <w:szCs w:val="36"/>
          <w:lang w:val="en-US" w:eastAsia="zh-CN"/>
        </w:rPr>
        <w:t>和</w:t>
      </w:r>
      <w:r>
        <w:rPr>
          <w:rFonts w:hint="default" w:ascii="Times New Roman" w:hAnsi="Times New Roman" w:eastAsia="宋体" w:cstheme="minorEastAsia"/>
          <w:i w:val="0"/>
          <w:iCs w:val="0"/>
          <w:sz w:val="36"/>
          <w:szCs w:val="36"/>
        </w:rPr>
        <w:t>界面设计</w:t>
      </w:r>
      <w:r>
        <w:rPr>
          <w:rFonts w:hint="default" w:ascii="Times New Roman" w:hAnsi="Times New Roman" w:eastAsia="宋体" w:cstheme="minorEastAsia"/>
          <w:i w:val="0"/>
          <w:iCs w:val="0"/>
          <w:sz w:val="36"/>
          <w:szCs w:val="36"/>
          <w:lang w:val="en-US" w:eastAsia="zh-CN"/>
        </w:rPr>
        <w:t>报告</w:t>
      </w:r>
    </w:p>
    <w:p w14:paraId="129E023E">
      <w:pPr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系统根据老人已有的基础资料和生理测量，利用训练好的模型估计后续健康指标出现预警的可能性，再结合这位老人近期的测量变化和本次实测异常，给出页面风险提示。下面按数据处理、模型训练和界面使用介绍目前的实现。</w:t>
      </w:r>
    </w:p>
    <w:p w14:paraId="45E222B7">
      <w:pPr>
        <w:pStyle w:val="3"/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一 数据处理</w:t>
      </w:r>
    </w:p>
    <w:p w14:paraId="05EC4251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1 数据来源与时间划分</w:t>
      </w:r>
    </w:p>
    <w:p w14:paraId="5CF989AC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模型训练使用 PhysioNet 2012 Challenge Set A 的监测记录，并选取符合项目年龄范围的人员。原始记录中，不同人的测量次数和项目并不一致，因此先按时间整理输入与标签。由于数据来自住院监测场景，模型用于社区老人时，还需要结合社区人群的实际数据继续检验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42B53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6F30F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时间范围</w:t>
            </w:r>
          </w:p>
        </w:tc>
        <w:tc>
          <w:tcPr>
            <w:tcW w:w="46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AB172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程序中的用途</w:t>
            </w:r>
          </w:p>
        </w:tc>
      </w:tr>
      <w:tr w14:paraId="421C9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15A4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前 24 小时</w:t>
            </w:r>
          </w:p>
        </w:tc>
        <w:tc>
          <w:tcPr>
            <w:tcW w:w="46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C2525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取已经整理好的九项输入特征，供模型学习和预测。</w:t>
            </w:r>
          </w:p>
        </w:tc>
      </w:tr>
      <w:tr w14:paraId="25428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02DA6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后 24 至 48 小时</w:t>
            </w:r>
          </w:p>
        </w:tc>
        <w:tc>
          <w:tcPr>
            <w:tcW w:w="46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7ABD6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依据之后实际观察到的五项指标制作训练答案，不进入前期模型输入。</w:t>
            </w:r>
          </w:p>
        </w:tc>
      </w:tr>
    </w:tbl>
    <w:p w14:paraId="608C86E1">
      <w:pPr>
        <w:spacing w:after="20"/>
        <w:rPr>
          <w:rFonts w:hint="default" w:ascii="Times New Roman" w:hAnsi="Times New Roman" w:eastAsia="宋体" w:cstheme="minorEastAsia"/>
          <w:sz w:val="24"/>
          <w:szCs w:val="24"/>
        </w:rPr>
      </w:pPr>
    </w:p>
    <w:p w14:paraId="24BB5198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每人按时间整理成一条训练记录。前 24 小时用于提取模型输入，后 24 至 48 小时用于制作训练标签。前期五项生理指标取已观测数值的均值；这反映该时段的总体状态，不等同于完整的个人变化曲线。系统运行时会另行计算近期趋势。</w:t>
      </w:r>
    </w:p>
    <w:p w14:paraId="73E90F10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2 模型输入是什么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4755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AEF55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类别</w:t>
            </w:r>
          </w:p>
        </w:tc>
        <w:tc>
          <w:tcPr>
            <w:tcW w:w="24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438E4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输入特征</w:t>
            </w:r>
          </w:p>
        </w:tc>
        <w:tc>
          <w:tcPr>
            <w:tcW w:w="549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0FFC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说明</w:t>
            </w:r>
          </w:p>
        </w:tc>
      </w:tr>
      <w:tr w14:paraId="5267C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FB9EF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基础资料</w:t>
            </w:r>
          </w:p>
        </w:tc>
        <w:tc>
          <w:tcPr>
            <w:tcW w:w="24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27833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年龄、性别、BMI</w:t>
            </w:r>
          </w:p>
        </w:tc>
        <w:tc>
          <w:tcPr>
            <w:tcW w:w="549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45FF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提供个体背景。</w:t>
            </w:r>
          </w:p>
        </w:tc>
      </w:tr>
      <w:tr w14:paraId="2E13F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2E0D5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五项生理指标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C34A9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呼吸频率、血氧、收缩压、心率、体温</w:t>
            </w: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FE7F4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取前 24 小时各项观测均值；也是制作未来标签时参考 NEWS2 分段的五项。</w:t>
            </w:r>
          </w:p>
        </w:tc>
      </w:tr>
      <w:tr w14:paraId="12D23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B6109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辅助输入</w:t>
            </w:r>
          </w:p>
        </w:tc>
        <w:tc>
          <w:tcPr>
            <w:tcW w:w="24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E2612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舒张压</w:t>
            </w:r>
          </w:p>
        </w:tc>
        <w:tc>
          <w:tcPr>
            <w:tcW w:w="549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3BDDF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用于模型预测，但不参与 NEWS2 五项综合分的计分。</w:t>
            </w:r>
          </w:p>
        </w:tc>
      </w:tr>
    </w:tbl>
    <w:p w14:paraId="08DE7954">
      <w:pPr>
        <w:spacing w:after="20"/>
        <w:rPr>
          <w:rFonts w:hint="default" w:ascii="Times New Roman" w:hAnsi="Times New Roman" w:eastAsia="宋体" w:cstheme="minorEastAsia"/>
          <w:sz w:val="24"/>
          <w:szCs w:val="24"/>
        </w:rPr>
      </w:pPr>
    </w:p>
    <w:p w14:paraId="5E129411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3 未来训练标签如何形成</w:t>
      </w:r>
    </w:p>
    <w:p w14:paraId="3B7BC84F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制作标签时，先查看每人在后 24 至 48 小时的实际测量，分别取呼吸频率、血氧、收缩压、心率、体温在该时段的中位数，再按 NEWS2 原始评分表对应区间计分。五项合计达到 5 分标为预警类（1），低于 5 分标为未达到预警线（0）。模型的任务，就是根据前期输入学习这两类标签之间的区别。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4D0CB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CB66F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指标</w:t>
            </w:r>
          </w:p>
        </w:tc>
        <w:tc>
          <w:tcPr>
            <w:tcW w:w="24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43BC8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0 分区间</w:t>
            </w:r>
          </w:p>
        </w:tc>
        <w:tc>
          <w:tcPr>
            <w:tcW w:w="52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EC9B5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较重异常示例</w:t>
            </w:r>
          </w:p>
        </w:tc>
      </w:tr>
      <w:tr w14:paraId="6BA7C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FF33D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呼吸频率</w:t>
            </w:r>
          </w:p>
        </w:tc>
        <w:tc>
          <w:tcPr>
            <w:tcW w:w="24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EA026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12 至 20 次每分</w:t>
            </w:r>
          </w:p>
        </w:tc>
        <w:tc>
          <w:tcPr>
            <w:tcW w:w="52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49304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不高于 8 或不低于 25 次每分得 3 分</w:t>
            </w:r>
          </w:p>
        </w:tc>
      </w:tr>
      <w:tr w14:paraId="776B8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E7C21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血氧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B2146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至少 96%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E5A3C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不高于 91% 得 3 分</w:t>
            </w:r>
          </w:p>
        </w:tc>
      </w:tr>
      <w:tr w14:paraId="1FF82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A966E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收缩压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0A888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111 至 219 mmHg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D9805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不高于 90 或至少 220 mmHg 得 3 分</w:t>
            </w:r>
          </w:p>
        </w:tc>
      </w:tr>
      <w:tr w14:paraId="47CB4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8C789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心率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CABFE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51 至 90 次每分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47456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不高于 40 或至少 131 次每分得 3 分</w:t>
            </w:r>
          </w:p>
        </w:tc>
      </w:tr>
      <w:tr w14:paraId="7ACA0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9FED6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体温</w:t>
            </w:r>
          </w:p>
        </w:tc>
        <w:tc>
          <w:tcPr>
            <w:tcW w:w="24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A31EA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36.1 至 38.0 摄氏度</w:t>
            </w:r>
          </w:p>
        </w:tc>
        <w:tc>
          <w:tcPr>
            <w:tcW w:w="52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7BCF7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不高于 35.0 摄氏度得 3 分</w:t>
            </w:r>
          </w:p>
        </w:tc>
      </w:tr>
    </w:tbl>
    <w:p w14:paraId="431765BF">
      <w:pPr>
        <w:spacing w:after="20"/>
        <w:rPr>
          <w:rFonts w:hint="default" w:ascii="Times New Roman" w:hAnsi="Times New Roman" w:eastAsia="宋体" w:cstheme="minorEastAsia"/>
          <w:sz w:val="24"/>
          <w:szCs w:val="24"/>
        </w:rPr>
      </w:pPr>
    </w:p>
    <w:p w14:paraId="776F1A00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比如五项得分是 2、1、1、1、0，总共 5 分，就标为 1 类（预警）；低于 5 分标为 0 类（未达到预警线）。五项数值也未必在同一时刻测得，所以这是参考 NEWS2 制作的五项标签，不是完整的 NEWS2 评分。</w:t>
      </w:r>
    </w:p>
    <w:p w14:paraId="2AA1A841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如果后续有指标没测到，我们不会把它当成正常、直接记 0 分。程序先算已测指标的得分，再假设每个缺失指标最多可能得 3 分，看看最终分数的范围。最低分已经达到 5 分，就能确定为预警；最高分仍不到 5 分，就能确定为未达到预警线。如果这个范围跨过 5 分，就无法确定答案，暂时不拿这条记录训练。例如已测项目共 4 分、还有一项缺失，总分可能是 4 至 7 分，这条记录就会被排除。</w:t>
      </w:r>
    </w:p>
    <w:p w14:paraId="18E9C367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4 分组与可用样本的先后顺序</w:t>
      </w:r>
    </w:p>
    <w:p w14:paraId="7964F5B3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数据先沿用原有的按人分组：训练、验证、测试分别有 1518、326、325 人。之后在各组内制作标签，并排除标签无法确定的记录；618 名可用人员没有再重新随机分组。同一人的记录只归入一个组，后期测量也不进入前期模型输入。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338"/>
        <w:gridCol w:w="2338"/>
        <w:gridCol w:w="2338"/>
      </w:tblGrid>
      <w:tr w14:paraId="3C28A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25084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分组</w:t>
            </w:r>
          </w:p>
        </w:tc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E730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原有人数</w:t>
            </w:r>
          </w:p>
        </w:tc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97DBD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标签可确定</w:t>
            </w:r>
          </w:p>
        </w:tc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A128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预警类人数</w:t>
            </w:r>
          </w:p>
        </w:tc>
      </w:tr>
      <w:tr w14:paraId="54BFC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5D592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训练</w:t>
            </w:r>
          </w:p>
        </w:tc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002E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1518</w:t>
            </w:r>
          </w:p>
        </w:tc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3C214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445</w:t>
            </w:r>
          </w:p>
        </w:tc>
        <w:tc>
          <w:tcPr>
            <w:tcW w:w="23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49A75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46</w:t>
            </w:r>
          </w:p>
        </w:tc>
      </w:tr>
      <w:tr w14:paraId="6AD76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436FB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验证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6EF27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326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A057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82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7E42B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14</w:t>
            </w:r>
          </w:p>
        </w:tc>
      </w:tr>
      <w:tr w14:paraId="2E119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5E4BB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测试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F892B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325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CEEE8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91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D0458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12</w:t>
            </w:r>
          </w:p>
        </w:tc>
      </w:tr>
      <w:tr w14:paraId="276A2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47B9E">
            <w:pPr>
              <w:spacing w:after="0" w:line="278" w:lineRule="auto"/>
              <w:jc w:val="center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合计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DFB0D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2169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26917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618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C033A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72</w:t>
            </w:r>
          </w:p>
        </w:tc>
      </w:tr>
    </w:tbl>
    <w:p w14:paraId="43EA4941">
      <w:pPr>
        <w:spacing w:after="20"/>
        <w:rPr>
          <w:rFonts w:hint="default" w:ascii="Times New Roman" w:hAnsi="Times New Roman" w:eastAsia="宋体" w:cstheme="minorEastAsia"/>
          <w:sz w:val="24"/>
          <w:szCs w:val="24"/>
        </w:rPr>
      </w:pPr>
    </w:p>
    <w:p w14:paraId="6AE052AF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这批数据共生成 2517 条候选标签，其中 618 条能确定类别；在原有三组内，可用人数和预警类人数见下表。标签能否确定与后期测量是否完整有关，因此最终样本可能偏向记录较充分的人。测试集只有 12 个预警样本，少数几人的分类变化就会明显影响指标，后续还需要更多连续测量数据来检验。</w:t>
      </w:r>
    </w:p>
    <w:p w14:paraId="49E668BF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5 前期输入缺失怎样处理</w:t>
      </w:r>
    </w:p>
    <w:p w14:paraId="2E1B4161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缺失值处理只在训练集上确定参数，再原样用于验证集、测试集和系统预测。呼吸频率由训练样本中相近人员的观测辅助补全；其余缺失输入采用训练集相应指标的中位数，并保留缺失标记，让模型区分实测值与补全值。补全只服务于模型计算，不会写回原始测量记录，也不能替代实际测量。</w:t>
      </w:r>
    </w:p>
    <w:p w14:paraId="04624512">
      <w:pPr>
        <w:pStyle w:val="3"/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二 模型训练与结果解释</w:t>
      </w:r>
    </w:p>
    <w:p w14:paraId="329B8F7E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1 训练任务与模型设置</w:t>
      </w:r>
    </w:p>
    <w:p w14:paraId="745D6EC6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系统使用 XGBoost 训练二分类模型：一类是后续五项综合分达到项目预警线，另一类是未达到。模型读取前期九项特征和缺失标记，并对人数较少的预警类给予相应权重。参数优化在训练集内进行：把树深度、子节点最小权重、学习率、样本抽样比例和正则化强度列成参数矩阵，共搜索 32 种组合；每种组合做三折分层交叉验证，以平均 PR AUC 为主要依据选出参数。本次选中的树深度为 2、子节点最小权重为 3、学习率为 0.07、样本抽样比例为 0.9、正则化强度为 1.0。缺失值处理在每一折中只根据该折训练部分确定。随后用完整训练集训练最终模型，验证集用于观察训练效果和选取分类阈值，测试集留到最后评估。</w:t>
      </w:r>
    </w:p>
    <w:p w14:paraId="79839D58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2 从模型估计值到预警类别</w:t>
      </w:r>
    </w:p>
    <w:p w14:paraId="5A1B9CDA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模型先输出 0 至 1 的预警类估计值，再用阈值把它转成两类结果。阈值在验证集上选择：先要求召回率达到至少 75%，再从符合条件的阈值中选择 F1 较高者，本次阈值约为 0.715。估计值达到阈值归为预警类，低于阈值归为未预警类。该估计值可用于排序和分类，但尚未完成面向社区老人实际发生率的概率校准。</w:t>
      </w:r>
    </w:p>
    <w:p w14:paraId="41503757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这里有两条用途不同的界线：五项合计 5 分用于生成训练标签，0.715 用于把模型输出转换为分类。75% 的召回率是项目为减少漏报而设定的验证目标，还需同时观察误报、精确率和 F1。阈值只根据验证集确定，测试集不参与参数或阈值选择；本次验证集召回率约为 78.57%，测试集召回率为 66.67%。测试集预警样本较少，后续数据增加时应重新检查阈值和漏报情况。</w:t>
      </w:r>
    </w:p>
    <w:p w14:paraId="50C92D9C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3  测试集表现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3D32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DD3BC3D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准确率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BFF573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召回率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78C3AB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精确率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59142A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F1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3BAE83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ROC AUC</w:t>
            </w:r>
          </w:p>
        </w:tc>
      </w:tr>
      <w:tr w14:paraId="412C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8BF3A6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93.41%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6D8D6F2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66.67%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4B3360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80.00%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D210DC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72.73%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4FE6D5">
            <w:pPr>
              <w:spacing w:before="0" w:after="0"/>
              <w:jc w:val="center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0.895</w:t>
            </w:r>
          </w:p>
        </w:tc>
      </w:tr>
    </w:tbl>
    <w:p w14:paraId="13DBD741">
      <w:pPr>
        <w:spacing w:after="20"/>
        <w:rPr>
          <w:rFonts w:hint="default" w:ascii="Times New Roman" w:hAnsi="Times New Roman" w:eastAsia="宋体" w:cstheme="minorEastAsia"/>
          <w:sz w:val="24"/>
          <w:szCs w:val="24"/>
        </w:rPr>
      </w:pPr>
    </w:p>
    <w:p w14:paraId="76DF9962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测试结果来自固定的 91 人测试集，具体数值见上表及下方图示。准确率反映对项目标签的总体分类情况；预警类较少时，还要一起看召回率、精确率、F1 和混淆矩阵。本次 12 个预警标签中找出 8 个、漏掉 4 个，因此不能只凭较高的准确率判断模型足够可靠。这些结果说明模型在当前数据上的表现，尚不足以推断它对所有社区老人的健康状态都有相同准确度。</w:t>
      </w:r>
    </w:p>
    <w:p w14:paraId="3F83C8D8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4 训练模型怎样进入系统预测</w:t>
      </w:r>
    </w:p>
    <w:p w14:paraId="49639E21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训练结束后，将模型、缺失值处理方法、特征顺序和分类阈值作为同一套文件部署到 Python 风险服务。服务加载模型后接收 Java 后端提供的测量和历史数据，返回评估结果；更新模型文件后需要重启风险服务，使新版本生效。</w:t>
      </w:r>
    </w:p>
    <w:p w14:paraId="5970684B">
      <w:pPr>
        <w:rPr>
          <w:rFonts w:ascii="Times New Roman" w:hAnsi="Times New Roman" w:eastAsia="宋体" w:cstheme="minorEastAsia"/>
          <w:sz w:val="24"/>
          <w:szCs w:val="24"/>
          <w:lang w:eastAsia="zh-CN"/>
        </w:rPr>
      </w:pPr>
      <w:r>
        <w:rPr>
          <w:rFonts w:ascii="Times New Roman" w:hAnsi="Times New Roman" w:eastAsia="宋体" w:cstheme="minorEastAsia"/>
          <w:sz w:val="24"/>
          <w:szCs w:val="24"/>
          <w:lang w:eastAsia="zh-CN"/>
        </w:rPr>
        <w:t>系统预测时，先汇总评估前 24 小时的测量记录。某项只有一次实测，就使用该次测量值；如果完全没有测到，呼吸频率会根据其他已知特征，从训练集中寻找最相近的 7 条记录，按相似程度估算。血氧及其他缺失的输入项则使用训练集对应指标的中位数填补。程序还会保留缺失标记，让模型知道哪些值不是实测的。填补值只用于模型计算，不会写成老人的真实测量记录，也不能单凭填补结果判断为正常。</w:t>
      </w:r>
    </w:p>
    <w:p w14:paraId="5ED21485">
      <w:pPr>
        <w:rPr>
          <w:rFonts w:hint="default" w:ascii="Times New Roman" w:hAnsi="Times New Roman" w:eastAsia="宋体" w:cstheme="minorEastAsia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宋体" w:cstheme="minorEastAsia"/>
          <w:sz w:val="24"/>
          <w:szCs w:val="24"/>
        </w:rPr>
        <w:t>模型预测是综合判断的一部分。系统还会比较本次测量与该老人近 30 天内最多 30 条历史记录，通常至少需要 3 条可比较记录，才能形成个人变化值。当前规则中，模型估计值达到分类阈值，或个人变化值达到 0.50，都会进入“关注”；两者同时出现，提示为“高风险”。五项实测综合异常和严重单项异常也会参与提示。这样既参考群体数据学出的规律，也考虑个人平时的状态；各项界线仍可随使用数据积累继续调整。</w:t>
      </w:r>
    </w:p>
    <w:p w14:paraId="364F9A54">
      <w:pPr>
        <w:pStyle w:val="4"/>
        <w:rPr>
          <w:rFonts w:hint="eastAsia" w:ascii="Times New Roman" w:hAnsi="Times New Roman" w:eastAsia="宋体" w:cs="黑体"/>
          <w:b w:val="0"/>
          <w:bCs w:val="0"/>
        </w:rPr>
      </w:pPr>
      <w:r>
        <w:rPr>
          <w:rFonts w:hint="eastAsia" w:ascii="Times New Roman" w:hAnsi="Times New Roman" w:eastAsia="宋体" w:cs="黑体"/>
          <w:b w:val="0"/>
          <w:bCs w:val="0"/>
        </w:rPr>
        <w:t>5  混淆矩阵、ROC 与学习曲线</w:t>
      </w:r>
    </w:p>
    <w:p w14:paraId="27D4CC86">
      <w:pPr>
        <w:keepNext/>
        <w:spacing w:before="120" w:after="40"/>
        <w:jc w:val="center"/>
        <w:rPr>
          <w:rFonts w:hint="default" w:ascii="Times New Roman" w:hAnsi="Times New Roman" w:eastAsia="宋体" w:cstheme="minorEastAsia"/>
        </w:rPr>
      </w:pPr>
      <w:r>
        <w:drawing>
          <wp:inline distT="0" distB="0" distL="114300" distR="114300">
            <wp:extent cx="3599815" cy="3256280"/>
            <wp:effectExtent l="0" t="0" r="1206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36CF">
      <w:pPr>
        <w:pStyle w:val="15"/>
        <w:jc w:val="center"/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图 1  测试集混淆矩阵  77 人正确判为未预警  8 人正确判为预警  2 人误报  4 人漏报</w:t>
      </w:r>
    </w:p>
    <w:p w14:paraId="69E97F0E">
      <w:pPr>
        <w:keepNext/>
        <w:spacing w:before="120" w:after="40"/>
        <w:jc w:val="center"/>
        <w:rPr>
          <w:rFonts w:hint="default" w:ascii="Times New Roman" w:hAnsi="Times New Roman" w:eastAsia="宋体" w:cstheme="minorEastAsia"/>
        </w:rPr>
      </w:pPr>
      <w:r>
        <w:drawing>
          <wp:inline distT="0" distB="0" distL="114300" distR="114300">
            <wp:extent cx="3599815" cy="3314065"/>
            <wp:effectExtent l="0" t="0" r="1206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1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D986">
      <w:pPr>
        <w:pStyle w:val="15"/>
        <w:jc w:val="center"/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图 2  测试集 ROC 曲线  AUC 为 0.895  对角线表示随机判断</w:t>
      </w:r>
    </w:p>
    <w:p w14:paraId="7597C4B3">
      <w:pPr>
        <w:keepNext/>
        <w:spacing w:before="120" w:after="40"/>
        <w:jc w:val="center"/>
        <w:rPr>
          <w:rFonts w:hint="default" w:ascii="Times New Roman" w:hAnsi="Times New Roman" w:eastAsia="宋体" w:cstheme="minorEastAsia"/>
        </w:rPr>
      </w:pPr>
      <w:r>
        <w:drawing>
          <wp:inline distT="0" distB="0" distL="114300" distR="114300">
            <wp:extent cx="5795645" cy="2464435"/>
            <wp:effectExtent l="0" t="0" r="1079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246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9644">
      <w:pPr>
        <w:pStyle w:val="15"/>
        <w:jc w:val="center"/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图 3  学习曲线  展示训练轮次及样本量变化下的模型表现</w:t>
      </w:r>
    </w:p>
    <w:p w14:paraId="6D2BAB4F">
      <w:pPr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混淆矩阵可直接看到误报和漏报人数；ROC 曲线与 AUC 反映不同分类阈值下的区分能力；学习曲线则用于观察训练轮数和样本规模变化时的表现。读图时需要同时注意测试集预警样本只有 12 人。</w:t>
      </w:r>
    </w:p>
    <w:p w14:paraId="768EF306">
      <w:pPr>
        <w:pStyle w:val="3"/>
        <w:rPr>
          <w:rFonts w:hint="default" w:ascii="Times New Roman" w:hAnsi="Times New Roman" w:eastAsia="宋体" w:cstheme="minorEastAsia"/>
        </w:rPr>
      </w:pPr>
      <w:r>
        <w:rPr>
          <w:rFonts w:hint="default" w:ascii="Times New Roman" w:hAnsi="Times New Roman" w:eastAsia="宋体" w:cstheme="minorEastAsia"/>
        </w:rPr>
        <w:t>三 界面设计与使用流程</w:t>
      </w:r>
    </w:p>
    <w:p w14:paraId="23772ABC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1  系统模块与数据流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44DD8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0CD54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组成</w:t>
            </w:r>
          </w:p>
        </w:tc>
        <w:tc>
          <w:tcPr>
            <w:tcW w:w="73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5B4B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当前职责</w:t>
            </w:r>
          </w:p>
        </w:tc>
      </w:tr>
      <w:tr w14:paraId="1F211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3429C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网页前端</w:t>
            </w:r>
          </w:p>
        </w:tc>
        <w:tc>
          <w:tcPr>
            <w:tcW w:w="73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81DD4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提供老人、医生、管理员的操作页面，提交测量并展示评估与趋势。</w:t>
            </w:r>
          </w:p>
        </w:tc>
      </w:tr>
      <w:tr w14:paraId="020EB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1C6F1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Java 后端</w:t>
            </w:r>
          </w:p>
        </w:tc>
        <w:tc>
          <w:tcPr>
            <w:tcW w:w="7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F2880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处理登录身份、保存档案与测量、读取历史、调用 Python 风险服务并保存评估记录。</w:t>
            </w:r>
          </w:p>
        </w:tc>
      </w:tr>
      <w:tr w14:paraId="2FB1D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B9720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Python 风险服务</w:t>
            </w:r>
          </w:p>
        </w:tc>
        <w:tc>
          <w:tcPr>
            <w:tcW w:w="73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43C04">
            <w:pPr>
              <w:spacing w:after="0" w:line="278" w:lineRule="auto"/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sz w:val="24"/>
                <w:szCs w:val="24"/>
              </w:rPr>
              <w:t>加载已训练模型，处理缺失输入，计算模型估计值、个人变化和实测单项警报。</w:t>
            </w:r>
          </w:p>
        </w:tc>
      </w:tr>
    </w:tbl>
    <w:p w14:paraId="47F86818">
      <w:pPr>
        <w:spacing w:after="20"/>
        <w:rPr>
          <w:rFonts w:hint="default" w:ascii="Times New Roman" w:hAnsi="Times New Roman" w:eastAsia="宋体" w:cstheme="minorEastAsia"/>
          <w:sz w:val="24"/>
          <w:szCs w:val="24"/>
        </w:rPr>
      </w:pPr>
    </w:p>
    <w:p w14:paraId="288E9101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系统预测使用的是 Python 风险服务中已部署的模型文件。重新训练只会生成新的模型文件；确认版本并替换部署文件、重启服务后，页面评估才会使用新模型。</w:t>
      </w:r>
    </w:p>
    <w:p w14:paraId="68AA1707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2 老人端界面</w:t>
      </w:r>
    </w:p>
    <w:p w14:paraId="418CEEAF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老人端按使用顺序安排为：填写年龄、性别、BMI 等基础资料，录入收缩压、舒张压、心率、血氧、体温和呼吸频率，保存本次测量，再查看风险评估与趋势。先保存再评估，是为了让本次结果和趋势都对应已记录的同一组测量。页面还可查看近 30 天的变化，便于观察一次测量之外的走势。</w:t>
      </w:r>
    </w:p>
    <w:p w14:paraId="510ADC31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评估区显示“正常”“关注”“高风险”或“暂无法评估”，并提供主要原因、近期变化和实测单项警报。页面不展示内部逐项得分，目的是让老人先看到需要关注的结论；遇到测量不足会提示补测。这里的“正常”是当前系统规则下未触发预警，不表示已经完成医学诊断。</w:t>
      </w:r>
      <w:r>
        <w:rPr>
          <w:rFonts w:hint="default" w:ascii="Times New Roman" w:hAnsi="Times New Roman" w:eastAsia="宋体" w:cstheme="minorEastAsia"/>
          <w:sz w:val="24"/>
          <w:szCs w:val="24"/>
        </w:rPr>
        <w:br w:type="textWrapping"/>
      </w:r>
      <w:r>
        <w:drawing>
          <wp:inline distT="0" distB="0" distL="114300" distR="114300">
            <wp:extent cx="5211445" cy="2860675"/>
            <wp:effectExtent l="0" t="0" r="63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31765" cy="3139440"/>
            <wp:effectExtent l="0" t="0" r="1079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87645" cy="2513965"/>
            <wp:effectExtent l="0" t="0" r="635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51425" cy="2120900"/>
            <wp:effectExtent l="0" t="0" r="8255" b="1270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01260" cy="2044065"/>
            <wp:effectExtent l="0" t="0" r="12700" b="133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D04B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3 医生端与管理员端</w:t>
      </w:r>
    </w:p>
    <w:p w14:paraId="33D386E8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医生端以人为单位查看资料：先选老人，再看最近一次测量、最近一次风险状态、主要单项警报，以及 7、30、90 天的指标曲线和测量明细。这样医生可以把最新结果放到个人历史中理解。当前页面主要呈现系统已保存的评估和历史测量，便于进一步人工查看。</w:t>
      </w:r>
    </w:p>
    <w:p w14:paraId="6A854F69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管理员端负责用户、医生、健康资讯和测量记录等日常管理。它与老人端、医生端使用同一批业务记录，分别提供维护、个人查看和按人查看的入口。</w:t>
      </w:r>
      <w:r>
        <w:rPr>
          <w:rFonts w:hint="default" w:ascii="Times New Roman" w:hAnsi="Times New Roman" w:eastAsia="宋体" w:cstheme="minorEastAsia"/>
          <w:sz w:val="24"/>
          <w:szCs w:val="24"/>
        </w:rPr>
        <w:br w:type="textWrapping"/>
      </w:r>
      <w:r>
        <w:drawing>
          <wp:inline distT="0" distB="0" distL="114300" distR="114300">
            <wp:extent cx="5150485" cy="2394585"/>
            <wp:effectExtent l="0" t="0" r="635" b="133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66030" cy="2424430"/>
            <wp:effectExtent l="0" t="0" r="8890" b="139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11420" cy="2800350"/>
            <wp:effectExtent l="0" t="0" r="2540" b="38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8CE6">
      <w:pPr>
        <w:pStyle w:val="4"/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黑体"/>
          <w:b w:val="0"/>
          <w:bCs w:val="0"/>
          <w:sz w:val="24"/>
          <w:szCs w:val="24"/>
        </w:rPr>
        <w:t>4 缺测反馈</w:t>
      </w:r>
    </w:p>
    <w:p w14:paraId="5B7BCD55">
      <w:pPr>
        <w:rPr>
          <w:rFonts w:hint="default" w:ascii="Times New Roman" w:hAnsi="Times New Roman" w:eastAsia="宋体" w:cstheme="minorEastAsia"/>
          <w:sz w:val="24"/>
          <w:szCs w:val="24"/>
        </w:rPr>
      </w:pPr>
      <w:r>
        <w:rPr>
          <w:rFonts w:hint="default" w:ascii="Times New Roman" w:hAnsi="Times New Roman" w:eastAsia="宋体" w:cstheme="minorEastAsia"/>
          <w:sz w:val="24"/>
          <w:szCs w:val="24"/>
        </w:rPr>
        <w:t>预测时若当前缺少某项测量，程序会先寻找前 24 小时内该项真实记录；仍没有时，再按训练时的方法补全模型输入。补全值不会被显示为本次实测。实测项目太少时，页面给出“暂无法评估”，并提示补测；个人历史不足时，则说明近期变化暂时无法判断。</w:t>
      </w:r>
    </w:p>
    <w:p w14:paraId="63436A32">
      <w:pPr>
        <w:rPr>
          <w:rFonts w:hint="default" w:ascii="Times New Roman" w:hAnsi="Times New Roman" w:eastAsia="宋体" w:cstheme="minorEastAsia"/>
          <w:sz w:val="24"/>
          <w:szCs w:val="24"/>
        </w:rPr>
      </w:pPr>
    </w:p>
    <w:sectPr>
      <w:pgSz w:w="11906" w:h="16838"/>
      <w:pgMar w:top="1134" w:right="1276" w:bottom="1020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B2188C"/>
    <w:rsid w:val="200F321E"/>
    <w:rsid w:val="32ED6992"/>
    <w:rsid w:val="3EE0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293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 w:line="293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00" w:line="293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80" w:after="60" w:line="293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00" w:after="180" w:line="293" w:lineRule="auto"/>
    </w:pPr>
    <w:rPr>
      <w:rFonts w:ascii="微软雅黑" w:hAnsi="微软雅黑" w:eastAsia="微软雅黑"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pPr>
      <w:spacing w:before="0" w:after="300" w:line="293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3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before="0" w:after="160" w:line="293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3562</Words>
  <Characters>3812</Characters>
  <Lines>0</Lines>
  <Paragraphs>0</Paragraphs>
  <TotalTime>0</TotalTime>
  <ScaleCrop>false</ScaleCrop>
  <LinksUpToDate>false</LinksUpToDate>
  <CharactersWithSpaces>4045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2026-10-13T06:27:40Z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eyJoZGlkIjoiZWIzMDQyYWM0OTBjYzYwY2M0M2JkZjRhZWU0NjAwNDIiLCJ1c2VySWQiOiI5NDk2NDMwMDgifQ==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9D4FE4E35D3F4BB99F587D1A97D2C270_12</vt:lpwstr>
  </property>
</Properties>
</file>