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2"/>
        <w:keepNext/>
        <w:widowControl/>
        <w:spacing w:before="0" w:after="100" w:line="293" w:lineRule="auto"/>
        <w:jc w:val="center"/>
      </w:pPr>
      <w:r>
        <w:rPr>
          <w:rFonts w:ascii="Times New Roman" w:hAnsi="Times New Roman" w:eastAsia="宋体"/>
          <w:color w:val="000000"/>
          <w:sz w:val="36"/>
        </w:rPr>
        <w:t>社区老人健康风险评估系统</w:t>
      </w:r>
    </w:p>
    <w:p>
      <w:pPr>
        <w:pStyle w:val="26"/>
        <w:keepNext/>
        <w:widowControl/>
        <w:spacing w:before="0" w:after="80" w:line="293" w:lineRule="auto"/>
        <w:jc w:val="center"/>
      </w:pPr>
      <w:r>
        <w:rPr>
          <w:rFonts w:ascii="Times New Roman" w:hAnsi="Times New Roman" w:eastAsia="宋体"/>
          <w:color w:val="000000"/>
          <w:sz w:val="24"/>
        </w:rPr>
        <w:t>模型训练与联合评估实现说明</w:t>
      </w:r>
    </w:p>
    <w:p>
      <w:pPr>
        <w:keepNext w:val="0"/>
        <w:widowControl/>
        <w:spacing w:before="0" w:after="200" w:line="293" w:lineRule="auto"/>
        <w:jc w:val="center"/>
      </w:pPr>
      <w:r>
        <w:rPr>
          <w:rFonts w:ascii="Times New Roman" w:hAnsi="Times New Roman" w:eastAsia="宋体"/>
          <w:color w:val="000000"/>
          <w:sz w:val="18"/>
        </w:rPr>
        <w:t>更新日期 2026年10月17日</w:t>
      </w:r>
    </w:p>
    <w:p>
      <w:pPr>
        <w:keepNext w:val="0"/>
        <w:widowControl/>
        <w:spacing w:before="0" w:after="100" w:line="293" w:lineRule="auto"/>
      </w:pPr>
      <w:r>
        <w:rPr>
          <w:rFonts w:ascii="Times New Roman" w:hAnsi="Times New Roman" w:eastAsia="宋体"/>
          <w:color w:val="000000"/>
          <w:sz w:val="20"/>
        </w:rPr>
        <w:t>系统将个性化生理预警与五种慢性病风险预测放在同一张健康汇总表中。老人一次填写资料和本次测量，点击“保存并联合预测”，即可查看两类结果、历史记录和趋势；医生及管理员依据各自权限查看同一批已保存记录。</w:t>
      </w:r>
    </w:p>
    <w:p>
      <w:pPr>
        <w:keepNext w:val="0"/>
        <w:widowControl/>
        <w:spacing w:before="0" w:after="100" w:line="293" w:lineRule="auto"/>
      </w:pPr>
      <w:r>
        <w:rPr>
          <w:rFonts w:ascii="Times New Roman" w:hAnsi="Times New Roman" w:eastAsia="宋体"/>
          <w:color w:val="000000"/>
          <w:sz w:val="20"/>
        </w:rPr>
        <w:t>当前运行由 Vue 前端、Spring Boot 后端和后端管理的 Python 推理进程组成。六个模型共用一个本地推理进程，但保留各自的数据来源、特征、阈值与结果。本文按数据处理、模型训练和界面使用说明实现，并列出五病种实验性能及其统计范围。</w:t>
      </w:r>
    </w:p>
    <w:p>
      <w:pPr>
        <w:pStyle w:val="3"/>
        <w:keepNext/>
        <w:pageBreakBefore w:val="0"/>
        <w:widowControl/>
        <w:spacing w:before="240" w:after="140" w:line="293" w:lineRule="auto"/>
      </w:pPr>
      <w:r>
        <w:rPr>
          <w:rFonts w:ascii="Times New Roman" w:hAnsi="Times New Roman" w:eastAsia="宋体"/>
          <w:b/>
          <w:color w:val="000000"/>
          <w:sz w:val="30"/>
        </w:rPr>
        <w:t>一 数据处理</w:t>
      </w:r>
    </w:p>
    <w:p>
      <w:pPr>
        <w:pStyle w:val="4"/>
        <w:keepNext/>
        <w:pageBreakBefore w:val="0"/>
        <w:widowControl/>
        <w:spacing w:before="160" w:after="100" w:line="293" w:lineRule="auto"/>
      </w:pPr>
      <w:r>
        <w:rPr>
          <w:rFonts w:ascii="Times New Roman" w:hAnsi="Times New Roman" w:eastAsia="宋体"/>
          <w:b w:val="0"/>
          <w:color w:val="000000"/>
          <w:sz w:val="24"/>
        </w:rPr>
        <w:t>1 两类预测的数据来源</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587"/>
        <w:gridCol w:w="4309"/>
        <w:gridCol w:w="3458"/>
      </w:tblGrid>
      <w:tr>
        <w:trPr>
          <w:cantSplit/>
          <w:tblHeader/>
        </w:trPr>
        <w:tc>
          <w:tcPr>
            <w:tcW w:type="dxa" w:w="1587"/>
            <w:vAlign w:val="center"/>
            <w:shd w:fill="EDF1F4"/>
          </w:tcPr>
          <w:p>
            <w:pPr>
              <w:spacing w:before="20" w:after="20" w:line="269" w:lineRule="auto"/>
              <w:jc w:val="center"/>
            </w:pPr>
            <w:r>
              <w:rPr>
                <w:rFonts w:ascii="Times New Roman" w:hAnsi="Times New Roman" w:eastAsia="宋体"/>
                <w:b/>
                <w:color w:val="000000"/>
                <w:sz w:val="18"/>
              </w:rPr>
              <w:t>预测任务</w:t>
            </w:r>
          </w:p>
        </w:tc>
        <w:tc>
          <w:tcPr>
            <w:tcW w:type="dxa" w:w="4309"/>
            <w:vAlign w:val="center"/>
            <w:shd w:fill="EDF1F4"/>
          </w:tcPr>
          <w:p>
            <w:pPr>
              <w:spacing w:before="20" w:after="20" w:line="269" w:lineRule="auto"/>
              <w:jc w:val="center"/>
            </w:pPr>
            <w:r>
              <w:rPr>
                <w:rFonts w:ascii="Times New Roman" w:hAnsi="Times New Roman" w:eastAsia="宋体"/>
                <w:b/>
                <w:color w:val="000000"/>
                <w:sz w:val="18"/>
              </w:rPr>
              <w:t>数据与时间范围</w:t>
            </w:r>
          </w:p>
        </w:tc>
        <w:tc>
          <w:tcPr>
            <w:tcW w:type="dxa" w:w="3458"/>
            <w:vAlign w:val="center"/>
            <w:shd w:fill="EDF1F4"/>
          </w:tcPr>
          <w:p>
            <w:pPr>
              <w:spacing w:before="20" w:after="20" w:line="269" w:lineRule="auto"/>
              <w:jc w:val="center"/>
            </w:pPr>
            <w:r>
              <w:rPr>
                <w:rFonts w:ascii="Times New Roman" w:hAnsi="Times New Roman" w:eastAsia="宋体"/>
                <w:b/>
                <w:color w:val="000000"/>
                <w:sz w:val="18"/>
              </w:rPr>
              <w:t>输出含义</w:t>
            </w:r>
          </w:p>
        </w:tc>
      </w:tr>
      <w:tr>
        <w:trPr>
          <w:cantSplit/>
        </w:trPr>
        <w:tc>
          <w:tcPr>
            <w:tcW w:type="dxa" w:w="1587"/>
            <w:vAlign w:val="center"/>
          </w:tcPr>
          <w:p>
            <w:pPr>
              <w:spacing w:before="20" w:after="20" w:line="269" w:lineRule="auto"/>
              <w:jc w:val="center"/>
            </w:pPr>
            <w:r>
              <w:rPr>
                <w:rFonts w:ascii="Times New Roman" w:hAnsi="Times New Roman" w:eastAsia="宋体"/>
                <w:b w:val="0"/>
                <w:color w:val="000000"/>
                <w:sz w:val="18"/>
              </w:rPr>
              <w:t>个性化生理预警</w:t>
            </w:r>
          </w:p>
        </w:tc>
        <w:tc>
          <w:tcPr>
            <w:tcW w:type="dxa" w:w="4309"/>
            <w:vAlign w:val="center"/>
          </w:tcPr>
          <w:p>
            <w:pPr>
              <w:spacing w:before="20" w:after="20" w:line="269" w:lineRule="auto"/>
              <w:jc w:val="left"/>
            </w:pPr>
            <w:r>
              <w:rPr>
                <w:rFonts w:ascii="Times New Roman" w:hAnsi="Times New Roman" w:eastAsia="宋体"/>
                <w:b w:val="0"/>
                <w:color w:val="000000"/>
                <w:sz w:val="18"/>
              </w:rPr>
              <w:t>PhysioNet 2012 Set A；前24小时特征，后24至48小时制作标签</w:t>
            </w:r>
          </w:p>
        </w:tc>
        <w:tc>
          <w:tcPr>
            <w:tcW w:type="dxa" w:w="3458"/>
            <w:vAlign w:val="center"/>
          </w:tcPr>
          <w:p>
            <w:pPr>
              <w:spacing w:before="20" w:after="20" w:line="269" w:lineRule="auto"/>
              <w:jc w:val="left"/>
            </w:pPr>
            <w:r>
              <w:rPr>
                <w:rFonts w:ascii="Times New Roman" w:hAnsi="Times New Roman" w:eastAsia="宋体"/>
                <w:b w:val="0"/>
                <w:color w:val="000000"/>
                <w:sz w:val="18"/>
              </w:rPr>
              <w:t>未来五项生理综合分是否达到项目预警线</w:t>
            </w:r>
          </w:p>
        </w:tc>
      </w:tr>
      <w:tr>
        <w:trPr>
          <w:cantSplit/>
        </w:trPr>
        <w:tc>
          <w:tcPr>
            <w:tcW w:type="dxa" w:w="1587"/>
            <w:vAlign w:val="center"/>
          </w:tcPr>
          <w:p>
            <w:pPr>
              <w:spacing w:before="20" w:after="20" w:line="269" w:lineRule="auto"/>
              <w:jc w:val="center"/>
            </w:pPr>
            <w:r>
              <w:rPr>
                <w:rFonts w:ascii="Times New Roman" w:hAnsi="Times New Roman" w:eastAsia="宋体"/>
                <w:b w:val="0"/>
                <w:color w:val="000000"/>
                <w:sz w:val="18"/>
              </w:rPr>
              <w:t>五病种风险预测</w:t>
            </w:r>
          </w:p>
        </w:tc>
        <w:tc>
          <w:tcPr>
            <w:tcW w:type="dxa" w:w="4309"/>
            <w:vAlign w:val="center"/>
          </w:tcPr>
          <w:p>
            <w:pPr>
              <w:spacing w:before="20" w:after="20" w:line="269" w:lineRule="auto"/>
              <w:jc w:val="left"/>
            </w:pPr>
            <w:r>
              <w:rPr>
                <w:rFonts w:ascii="Times New Roman" w:hAnsi="Times New Roman" w:eastAsia="宋体"/>
                <w:b w:val="0"/>
                <w:color w:val="000000"/>
                <w:sz w:val="18"/>
              </w:rPr>
              <w:t>NHEFS；1987年为基线，1992年为后续访谈，起点65岁及以上</w:t>
            </w:r>
          </w:p>
        </w:tc>
        <w:tc>
          <w:tcPr>
            <w:tcW w:type="dxa" w:w="3458"/>
            <w:vAlign w:val="center"/>
          </w:tcPr>
          <w:p>
            <w:pPr>
              <w:spacing w:before="20" w:after="20" w:line="269" w:lineRule="auto"/>
              <w:jc w:val="left"/>
            </w:pPr>
            <w:r>
              <w:rPr>
                <w:rFonts w:ascii="Times New Roman" w:hAnsi="Times New Roman" w:eastAsia="宋体"/>
                <w:b w:val="0"/>
                <w:color w:val="000000"/>
                <w:sz w:val="18"/>
              </w:rPr>
              <w:t>起点未患对应疾病者在后续访谈中新报告该病的可能性</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两类任务分别使用住院监测数据和历史美国随访资料。五病种任务基于实际调查间隔，不等同于精确60个月的发病概率；输出用于本项目健康管理与课程展示，不能作为疾病确诊。</w:t>
      </w:r>
    </w:p>
    <w:p>
      <w:pPr>
        <w:pStyle w:val="4"/>
        <w:keepNext/>
        <w:pageBreakBefore w:val="0"/>
        <w:widowControl/>
        <w:spacing w:before="160" w:after="100" w:line="293" w:lineRule="auto"/>
      </w:pPr>
      <w:r>
        <w:rPr>
          <w:rFonts w:ascii="Times New Roman" w:hAnsi="Times New Roman" w:eastAsia="宋体"/>
          <w:b w:val="0"/>
          <w:color w:val="000000"/>
          <w:sz w:val="24"/>
        </w:rPr>
        <w:t>2 统一输入的分工</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587"/>
        <w:gridCol w:w="4309"/>
        <w:gridCol w:w="3458"/>
      </w:tblGrid>
      <w:tr>
        <w:trPr>
          <w:cantSplit/>
          <w:tblHeader/>
        </w:trPr>
        <w:tc>
          <w:tcPr>
            <w:tcW w:type="dxa" w:w="1587"/>
            <w:vAlign w:val="center"/>
            <w:shd w:fill="EDF1F4"/>
          </w:tcPr>
          <w:p>
            <w:pPr>
              <w:spacing w:before="20" w:after="20" w:line="269" w:lineRule="auto"/>
              <w:jc w:val="center"/>
            </w:pPr>
            <w:r>
              <w:rPr>
                <w:rFonts w:ascii="Times New Roman" w:hAnsi="Times New Roman" w:eastAsia="宋体"/>
                <w:b/>
                <w:color w:val="000000"/>
                <w:sz w:val="18"/>
              </w:rPr>
              <w:t>输入类别</w:t>
            </w:r>
          </w:p>
        </w:tc>
        <w:tc>
          <w:tcPr>
            <w:tcW w:type="dxa" w:w="4309"/>
            <w:vAlign w:val="center"/>
            <w:shd w:fill="EDF1F4"/>
          </w:tcPr>
          <w:p>
            <w:pPr>
              <w:spacing w:before="20" w:after="20" w:line="269" w:lineRule="auto"/>
              <w:jc w:val="center"/>
            </w:pPr>
            <w:r>
              <w:rPr>
                <w:rFonts w:ascii="Times New Roman" w:hAnsi="Times New Roman" w:eastAsia="宋体"/>
                <w:b/>
                <w:color w:val="000000"/>
                <w:sz w:val="18"/>
              </w:rPr>
              <w:t>主要字段</w:t>
            </w:r>
          </w:p>
        </w:tc>
        <w:tc>
          <w:tcPr>
            <w:tcW w:type="dxa" w:w="3458"/>
            <w:vAlign w:val="center"/>
            <w:shd w:fill="EDF1F4"/>
          </w:tcPr>
          <w:p>
            <w:pPr>
              <w:spacing w:before="20" w:after="20" w:line="269" w:lineRule="auto"/>
              <w:jc w:val="center"/>
            </w:pPr>
            <w:r>
              <w:rPr>
                <w:rFonts w:ascii="Times New Roman" w:hAnsi="Times New Roman" w:eastAsia="宋体"/>
                <w:b/>
                <w:color w:val="000000"/>
                <w:sz w:val="18"/>
              </w:rPr>
              <w:t>使用方式</w:t>
            </w:r>
          </w:p>
        </w:tc>
      </w:tr>
      <w:tr>
        <w:trPr>
          <w:cantSplit/>
        </w:trPr>
        <w:tc>
          <w:tcPr>
            <w:tcW w:type="dxa" w:w="1587"/>
            <w:vAlign w:val="center"/>
          </w:tcPr>
          <w:p>
            <w:pPr>
              <w:spacing w:before="20" w:after="20" w:line="269" w:lineRule="auto"/>
              <w:jc w:val="center"/>
            </w:pPr>
            <w:r>
              <w:rPr>
                <w:rFonts w:ascii="Times New Roman" w:hAnsi="Times New Roman" w:eastAsia="宋体"/>
                <w:b w:val="0"/>
                <w:color w:val="000000"/>
                <w:sz w:val="18"/>
              </w:rPr>
              <w:t>共用资料</w:t>
            </w:r>
          </w:p>
        </w:tc>
        <w:tc>
          <w:tcPr>
            <w:tcW w:type="dxa" w:w="4309"/>
            <w:vAlign w:val="center"/>
          </w:tcPr>
          <w:p>
            <w:pPr>
              <w:spacing w:before="20" w:after="20" w:line="269" w:lineRule="auto"/>
              <w:jc w:val="left"/>
            </w:pPr>
            <w:r>
              <w:rPr>
                <w:rFonts w:ascii="Times New Roman" w:hAnsi="Times New Roman" w:eastAsia="宋体"/>
                <w:b w:val="0"/>
                <w:color w:val="000000"/>
                <w:sz w:val="18"/>
              </w:rPr>
              <w:t>年龄、性别</w:t>
            </w:r>
          </w:p>
        </w:tc>
        <w:tc>
          <w:tcPr>
            <w:tcW w:type="dxa" w:w="3458"/>
            <w:vAlign w:val="center"/>
          </w:tcPr>
          <w:p>
            <w:pPr>
              <w:spacing w:before="20" w:after="20" w:line="269" w:lineRule="auto"/>
              <w:jc w:val="left"/>
            </w:pPr>
            <w:r>
              <w:rPr>
                <w:rFonts w:ascii="Times New Roman" w:hAnsi="Times New Roman" w:eastAsia="宋体"/>
                <w:b w:val="0"/>
                <w:color w:val="000000"/>
                <w:sz w:val="18"/>
              </w:rPr>
              <w:t>填写一次，分别传给两类模型</w:t>
            </w:r>
          </w:p>
        </w:tc>
      </w:tr>
      <w:tr>
        <w:trPr>
          <w:cantSplit/>
        </w:trPr>
        <w:tc>
          <w:tcPr>
            <w:tcW w:type="dxa" w:w="1587"/>
            <w:vAlign w:val="center"/>
          </w:tcPr>
          <w:p>
            <w:pPr>
              <w:spacing w:before="20" w:after="20" w:line="269" w:lineRule="auto"/>
              <w:jc w:val="center"/>
            </w:pPr>
            <w:r>
              <w:rPr>
                <w:rFonts w:ascii="Times New Roman" w:hAnsi="Times New Roman" w:eastAsia="宋体"/>
                <w:b w:val="0"/>
                <w:color w:val="000000"/>
                <w:sz w:val="18"/>
              </w:rPr>
              <w:t>个性化资料</w:t>
            </w:r>
          </w:p>
        </w:tc>
        <w:tc>
          <w:tcPr>
            <w:tcW w:type="dxa" w:w="4309"/>
            <w:vAlign w:val="center"/>
          </w:tcPr>
          <w:p>
            <w:pPr>
              <w:spacing w:before="20" w:after="20" w:line="269" w:lineRule="auto"/>
              <w:jc w:val="left"/>
            </w:pPr>
            <w:r>
              <w:rPr>
                <w:rFonts w:ascii="Times New Roman" w:hAnsi="Times New Roman" w:eastAsia="宋体"/>
                <w:b w:val="0"/>
                <w:color w:val="000000"/>
                <w:sz w:val="18"/>
              </w:rPr>
              <w:t>BMI；收缩压、舒张压、心率、血氧、体温、呼吸频率</w:t>
            </w:r>
          </w:p>
        </w:tc>
        <w:tc>
          <w:tcPr>
            <w:tcW w:type="dxa" w:w="3458"/>
            <w:vAlign w:val="center"/>
          </w:tcPr>
          <w:p>
            <w:pPr>
              <w:spacing w:before="20" w:after="20" w:line="269" w:lineRule="auto"/>
              <w:jc w:val="left"/>
            </w:pPr>
            <w:r>
              <w:rPr>
                <w:rFonts w:ascii="Times New Roman" w:hAnsi="Times New Roman" w:eastAsia="宋体"/>
                <w:b w:val="0"/>
                <w:color w:val="000000"/>
                <w:sz w:val="18"/>
              </w:rPr>
              <w:t>形成生理预警输入，并与个人历史比较</w:t>
            </w:r>
          </w:p>
        </w:tc>
      </w:tr>
      <w:tr>
        <w:trPr>
          <w:cantSplit/>
        </w:trPr>
        <w:tc>
          <w:tcPr>
            <w:tcW w:type="dxa" w:w="1587"/>
            <w:vAlign w:val="center"/>
          </w:tcPr>
          <w:p>
            <w:pPr>
              <w:spacing w:before="20" w:after="20" w:line="269" w:lineRule="auto"/>
              <w:jc w:val="center"/>
            </w:pPr>
            <w:r>
              <w:rPr>
                <w:rFonts w:ascii="Times New Roman" w:hAnsi="Times New Roman" w:eastAsia="宋体"/>
                <w:b w:val="0"/>
                <w:color w:val="000000"/>
                <w:sz w:val="18"/>
              </w:rPr>
              <w:t>慢性病资料</w:t>
            </w:r>
          </w:p>
        </w:tc>
        <w:tc>
          <w:tcPr>
            <w:tcW w:type="dxa" w:w="4309"/>
            <w:vAlign w:val="center"/>
          </w:tcPr>
          <w:p>
            <w:pPr>
              <w:spacing w:before="20" w:after="20" w:line="269" w:lineRule="auto"/>
              <w:jc w:val="left"/>
            </w:pPr>
            <w:r>
              <w:rPr>
                <w:rFonts w:ascii="Times New Roman" w:hAnsi="Times New Roman" w:eastAsia="宋体"/>
                <w:b w:val="0"/>
                <w:color w:val="000000"/>
                <w:sz w:val="18"/>
              </w:rPr>
              <w:t>体重、自评健康、吸烟、饮酒、运动及五项病史</w:t>
            </w:r>
          </w:p>
        </w:tc>
        <w:tc>
          <w:tcPr>
            <w:tcW w:type="dxa" w:w="3458"/>
            <w:vAlign w:val="center"/>
          </w:tcPr>
          <w:p>
            <w:pPr>
              <w:spacing w:before="20" w:after="20" w:line="269" w:lineRule="auto"/>
              <w:jc w:val="left"/>
            </w:pPr>
            <w:r>
              <w:rPr>
                <w:rFonts w:ascii="Times New Roman" w:hAnsi="Times New Roman" w:eastAsia="宋体"/>
                <w:b w:val="0"/>
                <w:color w:val="000000"/>
                <w:sz w:val="18"/>
              </w:rPr>
              <w:t>用于五个独立二分类模型</w:t>
            </w:r>
          </w:p>
        </w:tc>
      </w:tr>
    </w:tbl>
    <w:p>
      <w:pPr>
        <w:keepNext w:val="0"/>
        <w:widowControl/>
        <w:spacing w:before="0" w:after="20" w:line="293" w:lineRule="auto"/>
      </w:pPr>
    </w:p>
    <w:p>
      <w:pPr>
        <w:pStyle w:val="4"/>
        <w:keepNext/>
        <w:pageBreakBefore/>
        <w:widowControl/>
        <w:spacing w:before="0" w:after="100" w:line="293" w:lineRule="auto"/>
      </w:pPr>
      <w:r>
        <w:rPr>
          <w:rFonts w:ascii="Times New Roman" w:hAnsi="Times New Roman" w:eastAsia="宋体"/>
          <w:b w:val="0"/>
          <w:color w:val="000000"/>
          <w:sz w:val="24"/>
        </w:rPr>
        <w:t>3 标签形成与队列筛选</w:t>
      </w:r>
    </w:p>
    <w:p>
      <w:pPr>
        <w:keepNext w:val="0"/>
        <w:widowControl/>
        <w:spacing w:before="0" w:after="100" w:line="293" w:lineRule="auto"/>
      </w:pPr>
      <w:r>
        <w:rPr>
          <w:rFonts w:ascii="Times New Roman" w:hAnsi="Times New Roman" w:eastAsia="宋体"/>
          <w:color w:val="000000"/>
          <w:sz w:val="20"/>
        </w:rPr>
        <w:t>个性化模型以每人后24至48小时的五项生理指标中位数制作训练标签。呼吸频率、血氧、收缩压、心率和体温按项目采用的 NEWS2 分段计分，合计达到5分为预警类，低于5分为未达到预警线。该标签是五项日级综合代理标签，不是完整、同一时刻的 NEWS2 评分。</w:t>
      </w:r>
    </w:p>
    <w:p>
      <w:pPr>
        <w:keepNext w:val="0"/>
        <w:widowControl/>
        <w:spacing w:before="0" w:after="100" w:line="293" w:lineRule="auto"/>
      </w:pPr>
      <w:r>
        <w:rPr>
          <w:rFonts w:ascii="Times New Roman" w:hAnsi="Times New Roman" w:eastAsia="宋体"/>
          <w:color w:val="000000"/>
          <w:sz w:val="20"/>
        </w:rPr>
        <w:t>后期至少有三项可计分，且在缺失项可能分值范围内仍能确定类别，才保留标签。缺失测量不直接当作正常。沿用按人的原始分组后，个性化模型可用训练、验证、测试样本分别为445、82、91人，其中预警类分别为46、14、12人。</w:t>
      </w:r>
    </w:p>
    <w:p>
      <w:pPr>
        <w:keepNext w:val="0"/>
        <w:widowControl/>
        <w:spacing w:before="0" w:after="100" w:line="293" w:lineRule="auto"/>
      </w:pPr>
      <w:r>
        <w:rPr>
          <w:rFonts w:ascii="Times New Roman" w:hAnsi="Times New Roman" w:eastAsia="宋体"/>
          <w:color w:val="000000"/>
          <w:sz w:val="20"/>
        </w:rPr>
        <w:t>慢性病队列分别核对1987年的起点病史和1992年的访谈及事件年份。起点已有对应病史者不进入首次新报告任务；病史未知、同年时间无法判断、失访或后续访谈不完整的记录按规则排除。随访前死亡者不记作未发病。</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871"/>
        <w:gridCol w:w="1871"/>
        <w:gridCol w:w="1871"/>
        <w:gridCol w:w="1871"/>
        <w:gridCol w:w="1871"/>
      </w:tblGrid>
      <w:tr>
        <w:trPr>
          <w:cantSplit/>
          <w:tblHeader/>
        </w:trPr>
        <w:tc>
          <w:tcPr>
            <w:tcW w:type="dxa" w:w="1871"/>
            <w:vAlign w:val="center"/>
            <w:shd w:fill="EDF1F4"/>
          </w:tcPr>
          <w:p>
            <w:pPr>
              <w:spacing w:before="20" w:after="20" w:line="269" w:lineRule="auto"/>
              <w:jc w:val="center"/>
            </w:pPr>
            <w:r>
              <w:rPr>
                <w:rFonts w:ascii="Times New Roman" w:hAnsi="Times New Roman" w:eastAsia="宋体"/>
                <w:b/>
                <w:color w:val="000000"/>
                <w:sz w:val="18"/>
              </w:rPr>
              <w:t>病种</w:t>
            </w:r>
          </w:p>
        </w:tc>
        <w:tc>
          <w:tcPr>
            <w:tcW w:type="dxa" w:w="1871"/>
            <w:vAlign w:val="center"/>
            <w:shd w:fill="EDF1F4"/>
          </w:tcPr>
          <w:p>
            <w:pPr>
              <w:spacing w:before="20" w:after="20" w:line="269" w:lineRule="auto"/>
              <w:jc w:val="center"/>
            </w:pPr>
            <w:r>
              <w:rPr>
                <w:rFonts w:ascii="Times New Roman" w:hAnsi="Times New Roman" w:eastAsia="宋体"/>
                <w:b/>
                <w:color w:val="000000"/>
                <w:sz w:val="18"/>
              </w:rPr>
              <w:t>可用人数</w:t>
            </w:r>
          </w:p>
        </w:tc>
        <w:tc>
          <w:tcPr>
            <w:tcW w:type="dxa" w:w="1871"/>
            <w:vAlign w:val="center"/>
            <w:shd w:fill="EDF1F4"/>
          </w:tcPr>
          <w:p>
            <w:pPr>
              <w:spacing w:before="20" w:after="20" w:line="269" w:lineRule="auto"/>
              <w:jc w:val="center"/>
            </w:pPr>
            <w:r>
              <w:rPr>
                <w:rFonts w:ascii="Times New Roman" w:hAnsi="Times New Roman" w:eastAsia="宋体"/>
                <w:b/>
                <w:color w:val="000000"/>
                <w:sz w:val="18"/>
              </w:rPr>
              <w:t>新报告人数</w:t>
            </w:r>
          </w:p>
        </w:tc>
        <w:tc>
          <w:tcPr>
            <w:tcW w:type="dxa" w:w="1871"/>
            <w:vAlign w:val="center"/>
            <w:shd w:fill="EDF1F4"/>
          </w:tcPr>
          <w:p>
            <w:pPr>
              <w:spacing w:before="20" w:after="20" w:line="269" w:lineRule="auto"/>
              <w:jc w:val="center"/>
            </w:pPr>
            <w:r>
              <w:rPr>
                <w:rFonts w:ascii="Times New Roman" w:hAnsi="Times New Roman" w:eastAsia="宋体"/>
                <w:b/>
                <w:color w:val="000000"/>
                <w:sz w:val="18"/>
              </w:rPr>
              <w:t>原开发人数</w:t>
            </w:r>
          </w:p>
        </w:tc>
        <w:tc>
          <w:tcPr>
            <w:tcW w:type="dxa" w:w="1871"/>
            <w:vAlign w:val="center"/>
            <w:shd w:fill="EDF1F4"/>
          </w:tcPr>
          <w:p>
            <w:pPr>
              <w:spacing w:before="20" w:after="20" w:line="269" w:lineRule="auto"/>
              <w:jc w:val="center"/>
            </w:pPr>
            <w:r>
              <w:rPr>
                <w:rFonts w:ascii="Times New Roman" w:hAnsi="Times New Roman" w:eastAsia="宋体"/>
                <w:b/>
                <w:color w:val="000000"/>
                <w:sz w:val="18"/>
              </w:rPr>
              <w:t>原评估人数</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高血压</w:t>
            </w:r>
          </w:p>
        </w:tc>
        <w:tc>
          <w:tcPr>
            <w:tcW w:type="dxa" w:w="1871"/>
            <w:vAlign w:val="center"/>
          </w:tcPr>
          <w:p>
            <w:pPr>
              <w:spacing w:before="20" w:after="20" w:line="269" w:lineRule="auto"/>
              <w:jc w:val="center"/>
            </w:pPr>
            <w:r>
              <w:rPr>
                <w:rFonts w:ascii="Times New Roman" w:hAnsi="Times New Roman" w:eastAsia="宋体"/>
                <w:b w:val="0"/>
                <w:color w:val="000000"/>
                <w:sz w:val="18"/>
              </w:rPr>
              <w:t>870</w:t>
            </w:r>
          </w:p>
        </w:tc>
        <w:tc>
          <w:tcPr>
            <w:tcW w:type="dxa" w:w="1871"/>
            <w:vAlign w:val="center"/>
          </w:tcPr>
          <w:p>
            <w:pPr>
              <w:spacing w:before="20" w:after="20" w:line="269" w:lineRule="auto"/>
              <w:jc w:val="center"/>
            </w:pPr>
            <w:r>
              <w:rPr>
                <w:rFonts w:ascii="Times New Roman" w:hAnsi="Times New Roman" w:eastAsia="宋体"/>
                <w:b w:val="0"/>
                <w:color w:val="000000"/>
                <w:sz w:val="18"/>
              </w:rPr>
              <w:t>76</w:t>
            </w:r>
          </w:p>
        </w:tc>
        <w:tc>
          <w:tcPr>
            <w:tcW w:type="dxa" w:w="1871"/>
            <w:vAlign w:val="center"/>
          </w:tcPr>
          <w:p>
            <w:pPr>
              <w:spacing w:before="20" w:after="20" w:line="269" w:lineRule="auto"/>
              <w:jc w:val="center"/>
            </w:pPr>
            <w:r>
              <w:rPr>
                <w:rFonts w:ascii="Times New Roman" w:hAnsi="Times New Roman" w:eastAsia="宋体"/>
                <w:b w:val="0"/>
                <w:color w:val="000000"/>
                <w:sz w:val="18"/>
              </w:rPr>
              <w:t>699</w:t>
            </w:r>
          </w:p>
        </w:tc>
        <w:tc>
          <w:tcPr>
            <w:tcW w:type="dxa" w:w="1871"/>
            <w:vAlign w:val="center"/>
          </w:tcPr>
          <w:p>
            <w:pPr>
              <w:spacing w:before="20" w:after="20" w:line="269" w:lineRule="auto"/>
              <w:jc w:val="center"/>
            </w:pPr>
            <w:r>
              <w:rPr>
                <w:rFonts w:ascii="Times New Roman" w:hAnsi="Times New Roman" w:eastAsia="宋体"/>
                <w:b w:val="0"/>
                <w:color w:val="000000"/>
                <w:sz w:val="18"/>
              </w:rPr>
              <w:t>171</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糖尿病</w:t>
            </w:r>
          </w:p>
        </w:tc>
        <w:tc>
          <w:tcPr>
            <w:tcW w:type="dxa" w:w="1871"/>
            <w:vAlign w:val="center"/>
          </w:tcPr>
          <w:p>
            <w:pPr>
              <w:spacing w:before="20" w:after="20" w:line="269" w:lineRule="auto"/>
              <w:jc w:val="center"/>
            </w:pPr>
            <w:r>
              <w:rPr>
                <w:rFonts w:ascii="Times New Roman" w:hAnsi="Times New Roman" w:eastAsia="宋体"/>
                <w:b w:val="0"/>
                <w:color w:val="000000"/>
                <w:sz w:val="18"/>
              </w:rPr>
              <w:t>1852</w:t>
            </w:r>
          </w:p>
        </w:tc>
        <w:tc>
          <w:tcPr>
            <w:tcW w:type="dxa" w:w="1871"/>
            <w:vAlign w:val="center"/>
          </w:tcPr>
          <w:p>
            <w:pPr>
              <w:spacing w:before="20" w:after="20" w:line="269" w:lineRule="auto"/>
              <w:jc w:val="center"/>
            </w:pPr>
            <w:r>
              <w:rPr>
                <w:rFonts w:ascii="Times New Roman" w:hAnsi="Times New Roman" w:eastAsia="宋体"/>
                <w:b w:val="0"/>
                <w:color w:val="000000"/>
                <w:sz w:val="18"/>
              </w:rPr>
              <w:t>38</w:t>
            </w:r>
          </w:p>
        </w:tc>
        <w:tc>
          <w:tcPr>
            <w:tcW w:type="dxa" w:w="1871"/>
            <w:vAlign w:val="center"/>
          </w:tcPr>
          <w:p>
            <w:pPr>
              <w:spacing w:before="20" w:after="20" w:line="269" w:lineRule="auto"/>
              <w:jc w:val="center"/>
            </w:pPr>
            <w:r>
              <w:rPr>
                <w:rFonts w:ascii="Times New Roman" w:hAnsi="Times New Roman" w:eastAsia="宋体"/>
                <w:b w:val="0"/>
                <w:color w:val="000000"/>
                <w:sz w:val="18"/>
              </w:rPr>
              <w:t>1492</w:t>
            </w:r>
          </w:p>
        </w:tc>
        <w:tc>
          <w:tcPr>
            <w:tcW w:type="dxa" w:w="1871"/>
            <w:vAlign w:val="center"/>
          </w:tcPr>
          <w:p>
            <w:pPr>
              <w:spacing w:before="20" w:after="20" w:line="269" w:lineRule="auto"/>
              <w:jc w:val="center"/>
            </w:pPr>
            <w:r>
              <w:rPr>
                <w:rFonts w:ascii="Times New Roman" w:hAnsi="Times New Roman" w:eastAsia="宋体"/>
                <w:b w:val="0"/>
                <w:color w:val="000000"/>
                <w:sz w:val="18"/>
              </w:rPr>
              <w:t>360</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卒中</w:t>
            </w:r>
          </w:p>
        </w:tc>
        <w:tc>
          <w:tcPr>
            <w:tcW w:type="dxa" w:w="1871"/>
            <w:vAlign w:val="center"/>
          </w:tcPr>
          <w:p>
            <w:pPr>
              <w:spacing w:before="20" w:after="20" w:line="269" w:lineRule="auto"/>
              <w:jc w:val="center"/>
            </w:pPr>
            <w:r>
              <w:rPr>
                <w:rFonts w:ascii="Times New Roman" w:hAnsi="Times New Roman" w:eastAsia="宋体"/>
                <w:b w:val="0"/>
                <w:color w:val="000000"/>
                <w:sz w:val="18"/>
              </w:rPr>
              <w:t>1899</w:t>
            </w:r>
          </w:p>
        </w:tc>
        <w:tc>
          <w:tcPr>
            <w:tcW w:type="dxa" w:w="1871"/>
            <w:vAlign w:val="center"/>
          </w:tcPr>
          <w:p>
            <w:pPr>
              <w:spacing w:before="20" w:after="20" w:line="269" w:lineRule="auto"/>
              <w:jc w:val="center"/>
            </w:pPr>
            <w:r>
              <w:rPr>
                <w:rFonts w:ascii="Times New Roman" w:hAnsi="Times New Roman" w:eastAsia="宋体"/>
                <w:b w:val="0"/>
                <w:color w:val="000000"/>
                <w:sz w:val="18"/>
              </w:rPr>
              <w:t>67</w:t>
            </w:r>
          </w:p>
        </w:tc>
        <w:tc>
          <w:tcPr>
            <w:tcW w:type="dxa" w:w="1871"/>
            <w:vAlign w:val="center"/>
          </w:tcPr>
          <w:p>
            <w:pPr>
              <w:spacing w:before="20" w:after="20" w:line="269" w:lineRule="auto"/>
              <w:jc w:val="center"/>
            </w:pPr>
            <w:r>
              <w:rPr>
                <w:rFonts w:ascii="Times New Roman" w:hAnsi="Times New Roman" w:eastAsia="宋体"/>
                <w:b w:val="0"/>
                <w:color w:val="000000"/>
                <w:sz w:val="18"/>
              </w:rPr>
              <w:t>1533</w:t>
            </w:r>
          </w:p>
        </w:tc>
        <w:tc>
          <w:tcPr>
            <w:tcW w:type="dxa" w:w="1871"/>
            <w:vAlign w:val="center"/>
          </w:tcPr>
          <w:p>
            <w:pPr>
              <w:spacing w:before="20" w:after="20" w:line="269" w:lineRule="auto"/>
              <w:jc w:val="center"/>
            </w:pPr>
            <w:r>
              <w:rPr>
                <w:rFonts w:ascii="Times New Roman" w:hAnsi="Times New Roman" w:eastAsia="宋体"/>
                <w:b w:val="0"/>
                <w:color w:val="000000"/>
                <w:sz w:val="18"/>
              </w:rPr>
              <w:t>366</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心脏病发作</w:t>
            </w:r>
          </w:p>
        </w:tc>
        <w:tc>
          <w:tcPr>
            <w:tcW w:type="dxa" w:w="1871"/>
            <w:vAlign w:val="center"/>
          </w:tcPr>
          <w:p>
            <w:pPr>
              <w:spacing w:before="20" w:after="20" w:line="269" w:lineRule="auto"/>
              <w:jc w:val="center"/>
            </w:pPr>
            <w:r>
              <w:rPr>
                <w:rFonts w:ascii="Times New Roman" w:hAnsi="Times New Roman" w:eastAsia="宋体"/>
                <w:b w:val="0"/>
                <w:color w:val="000000"/>
                <w:sz w:val="18"/>
              </w:rPr>
              <w:t>1826</w:t>
            </w:r>
          </w:p>
        </w:tc>
        <w:tc>
          <w:tcPr>
            <w:tcW w:type="dxa" w:w="1871"/>
            <w:vAlign w:val="center"/>
          </w:tcPr>
          <w:p>
            <w:pPr>
              <w:spacing w:before="20" w:after="20" w:line="269" w:lineRule="auto"/>
              <w:jc w:val="center"/>
            </w:pPr>
            <w:r>
              <w:rPr>
                <w:rFonts w:ascii="Times New Roman" w:hAnsi="Times New Roman" w:eastAsia="宋体"/>
                <w:b w:val="0"/>
                <w:color w:val="000000"/>
                <w:sz w:val="18"/>
              </w:rPr>
              <w:t>91</w:t>
            </w:r>
          </w:p>
        </w:tc>
        <w:tc>
          <w:tcPr>
            <w:tcW w:type="dxa" w:w="1871"/>
            <w:vAlign w:val="center"/>
          </w:tcPr>
          <w:p>
            <w:pPr>
              <w:spacing w:before="20" w:after="20" w:line="269" w:lineRule="auto"/>
              <w:jc w:val="center"/>
            </w:pPr>
            <w:r>
              <w:rPr>
                <w:rFonts w:ascii="Times New Roman" w:hAnsi="Times New Roman" w:eastAsia="宋体"/>
                <w:b w:val="0"/>
                <w:color w:val="000000"/>
                <w:sz w:val="18"/>
              </w:rPr>
              <w:t>1482</w:t>
            </w:r>
          </w:p>
        </w:tc>
        <w:tc>
          <w:tcPr>
            <w:tcW w:type="dxa" w:w="1871"/>
            <w:vAlign w:val="center"/>
          </w:tcPr>
          <w:p>
            <w:pPr>
              <w:spacing w:before="20" w:after="20" w:line="269" w:lineRule="auto"/>
              <w:jc w:val="center"/>
            </w:pPr>
            <w:r>
              <w:rPr>
                <w:rFonts w:ascii="Times New Roman" w:hAnsi="Times New Roman" w:eastAsia="宋体"/>
                <w:b w:val="0"/>
                <w:color w:val="000000"/>
                <w:sz w:val="18"/>
              </w:rPr>
              <w:t>344</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骨质疏松</w:t>
            </w:r>
          </w:p>
        </w:tc>
        <w:tc>
          <w:tcPr>
            <w:tcW w:type="dxa" w:w="1871"/>
            <w:vAlign w:val="center"/>
          </w:tcPr>
          <w:p>
            <w:pPr>
              <w:spacing w:before="20" w:after="20" w:line="269" w:lineRule="auto"/>
              <w:jc w:val="center"/>
            </w:pPr>
            <w:r>
              <w:rPr>
                <w:rFonts w:ascii="Times New Roman" w:hAnsi="Times New Roman" w:eastAsia="宋体"/>
                <w:b w:val="0"/>
                <w:color w:val="000000"/>
                <w:sz w:val="18"/>
              </w:rPr>
              <w:t>1928</w:t>
            </w:r>
          </w:p>
        </w:tc>
        <w:tc>
          <w:tcPr>
            <w:tcW w:type="dxa" w:w="1871"/>
            <w:vAlign w:val="center"/>
          </w:tcPr>
          <w:p>
            <w:pPr>
              <w:spacing w:before="20" w:after="20" w:line="269" w:lineRule="auto"/>
              <w:jc w:val="center"/>
            </w:pPr>
            <w:r>
              <w:rPr>
                <w:rFonts w:ascii="Times New Roman" w:hAnsi="Times New Roman" w:eastAsia="宋体"/>
                <w:b w:val="0"/>
                <w:color w:val="000000"/>
                <w:sz w:val="18"/>
              </w:rPr>
              <w:t>53</w:t>
            </w:r>
          </w:p>
        </w:tc>
        <w:tc>
          <w:tcPr>
            <w:tcW w:type="dxa" w:w="1871"/>
            <w:vAlign w:val="center"/>
          </w:tcPr>
          <w:p>
            <w:pPr>
              <w:spacing w:before="20" w:after="20" w:line="269" w:lineRule="auto"/>
              <w:jc w:val="center"/>
            </w:pPr>
            <w:r>
              <w:rPr>
                <w:rFonts w:ascii="Times New Roman" w:hAnsi="Times New Roman" w:eastAsia="宋体"/>
                <w:b w:val="0"/>
                <w:color w:val="000000"/>
                <w:sz w:val="18"/>
              </w:rPr>
              <w:t>1561</w:t>
            </w:r>
          </w:p>
        </w:tc>
        <w:tc>
          <w:tcPr>
            <w:tcW w:type="dxa" w:w="1871"/>
            <w:vAlign w:val="center"/>
          </w:tcPr>
          <w:p>
            <w:pPr>
              <w:spacing w:before="20" w:after="20" w:line="269" w:lineRule="auto"/>
              <w:jc w:val="center"/>
            </w:pPr>
            <w:r>
              <w:rPr>
                <w:rFonts w:ascii="Times New Roman" w:hAnsi="Times New Roman" w:eastAsia="宋体"/>
                <w:b w:val="0"/>
                <w:color w:val="000000"/>
                <w:sz w:val="18"/>
              </w:rPr>
              <w:t>367</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五个病种的入组标准不同，同一老人可以属于多个病种队列，因此不能把五行人数相加理解为不同老人的总数。糖尿病、心脏病发作和骨质疏松等标签沿用问卷定义，不扩展为未经数据支持的临床亚型或检查确诊。</w:t>
      </w:r>
    </w:p>
    <w:p>
      <w:pPr>
        <w:pStyle w:val="4"/>
        <w:keepNext/>
        <w:pageBreakBefore w:val="0"/>
        <w:widowControl/>
        <w:spacing w:before="160" w:after="100" w:line="293" w:lineRule="auto"/>
      </w:pPr>
      <w:r>
        <w:rPr>
          <w:rFonts w:ascii="Times New Roman" w:hAnsi="Times New Roman" w:eastAsia="宋体"/>
          <w:b w:val="0"/>
          <w:color w:val="000000"/>
          <w:sz w:val="24"/>
        </w:rPr>
        <w:t>4 特征和缺失值处理</w:t>
      </w:r>
    </w:p>
    <w:p>
      <w:pPr>
        <w:keepNext w:val="0"/>
        <w:widowControl/>
        <w:spacing w:before="0" w:after="100" w:line="293" w:lineRule="auto"/>
      </w:pPr>
      <w:r>
        <w:rPr>
          <w:rFonts w:ascii="Times New Roman" w:hAnsi="Times New Roman" w:eastAsia="宋体"/>
          <w:color w:val="000000"/>
          <w:sz w:val="20"/>
        </w:rPr>
        <w:t>个性化模型使用年龄、性别、BMI与六项生理特征。缺失呼吸频率按已保存的近邻方法处理，其余缺失输入使用训练阶段确定的中位数，并保留缺失标记。补全值只进入模型，不写成老人真实测量。</w:t>
      </w:r>
    </w:p>
    <w:p>
      <w:pPr>
        <w:keepNext w:val="0"/>
        <w:widowControl/>
        <w:spacing w:before="0" w:after="100" w:line="293" w:lineRule="auto"/>
      </w:pPr>
      <w:r>
        <w:rPr>
          <w:rFonts w:ascii="Times New Roman" w:hAnsi="Times New Roman" w:eastAsia="宋体"/>
          <w:color w:val="000000"/>
          <w:sz w:val="20"/>
        </w:rPr>
        <w:t>五病种模型使用基线年龄、性别、体重、自评健康、生活习惯、其他病种历史以及高胆固醇史、近期健康变化、增减重和髋部骨折史等字段。预测某病时不把该病自身起点病史作为可训练输入；只有明确无该病史时才运行首次新报告预测。实验采用中位数填补和缺失指示，处理器随权重一同保存。</w:t>
      </w:r>
    </w:p>
    <w:p>
      <w:pPr>
        <w:keepNext w:val="0"/>
        <w:widowControl/>
        <w:spacing w:before="0" w:after="100" w:line="293" w:lineRule="auto"/>
      </w:pPr>
      <w:r>
        <w:rPr>
          <w:rFonts w:ascii="Times New Roman" w:hAnsi="Times New Roman" w:eastAsia="宋体"/>
          <w:color w:val="000000"/>
          <w:sz w:val="20"/>
        </w:rPr>
        <w:t>统一表单中，年龄和性别必填；BMI为个性化预测必填。慢性病的体重、自评健康、吸烟、饮酒和运动五项至少填两项；附加资料可留空。未知病史不自动改成“无”，而是跳过对应病种并说明原因。</w:t>
      </w:r>
    </w:p>
    <w:p>
      <w:pPr>
        <w:pStyle w:val="3"/>
        <w:keepNext/>
        <w:pageBreakBefore/>
        <w:widowControl/>
        <w:spacing w:before="0" w:after="140" w:line="293" w:lineRule="auto"/>
      </w:pPr>
      <w:r>
        <w:rPr>
          <w:rFonts w:ascii="Times New Roman" w:hAnsi="Times New Roman" w:eastAsia="宋体"/>
          <w:b/>
          <w:color w:val="000000"/>
          <w:sz w:val="30"/>
        </w:rPr>
        <w:t>二 模型训练与性能</w:t>
      </w:r>
    </w:p>
    <w:p>
      <w:pPr>
        <w:pStyle w:val="4"/>
        <w:keepNext/>
        <w:pageBreakBefore w:val="0"/>
        <w:widowControl/>
        <w:spacing w:before="160" w:after="100" w:line="293" w:lineRule="auto"/>
      </w:pPr>
      <w:r>
        <w:rPr>
          <w:rFonts w:ascii="Times New Roman" w:hAnsi="Times New Roman" w:eastAsia="宋体"/>
          <w:b w:val="0"/>
          <w:color w:val="000000"/>
          <w:sz w:val="24"/>
        </w:rPr>
        <w:t>1 个性化生理预警模型</w:t>
      </w:r>
    </w:p>
    <w:p>
      <w:pPr>
        <w:keepNext w:val="0"/>
        <w:widowControl/>
        <w:spacing w:before="0" w:after="100" w:line="293" w:lineRule="auto"/>
      </w:pPr>
      <w:r>
        <w:rPr>
          <w:rFonts w:ascii="Times New Roman" w:hAnsi="Times New Roman" w:eastAsia="宋体"/>
          <w:color w:val="000000"/>
          <w:sz w:val="20"/>
        </w:rPr>
        <w:t>个性化模型使用 XGBoost 二分类。训练集内对32组参数进行三折分层交叉验证，以平均精确率为主要选择依据；最终参数包括树深度2、子节点最小权重3、学习率0.07、样本抽样比例0.9和正则化强度1.0。缺失处理在相应训练部分拟合。</w:t>
      </w:r>
    </w:p>
    <w:p>
      <w:pPr>
        <w:keepNext w:val="0"/>
        <w:widowControl/>
        <w:spacing w:before="0" w:after="100" w:line="293" w:lineRule="auto"/>
      </w:pPr>
      <w:r>
        <w:rPr>
          <w:rFonts w:ascii="Times New Roman" w:hAnsi="Times New Roman" w:eastAsia="宋体"/>
          <w:color w:val="000000"/>
          <w:sz w:val="20"/>
        </w:rPr>
        <w:t>验证集用于早停和选取分类阈值。先要求召回率至少75%，再选择 F1 较高的阈值，本版本阈值约0.715。固定测试集共有91人，其中12人属于预警类；参数和阈值不依据该测试集确定。</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559"/>
        <w:gridCol w:w="1559"/>
        <w:gridCol w:w="1559"/>
        <w:gridCol w:w="1559"/>
        <w:gridCol w:w="1559"/>
        <w:gridCol w:w="1559"/>
      </w:tblGrid>
      <w:tr>
        <w:trPr>
          <w:cantSplit/>
          <w:tblHeader/>
        </w:trPr>
        <w:tc>
          <w:tcPr>
            <w:tcW w:type="dxa" w:w="1559"/>
            <w:vAlign w:val="center"/>
            <w:shd w:fill="EDF1F4"/>
          </w:tcPr>
          <w:p>
            <w:pPr>
              <w:spacing w:before="20" w:after="20" w:line="269" w:lineRule="auto"/>
              <w:jc w:val="center"/>
            </w:pPr>
            <w:r>
              <w:rPr>
                <w:rFonts w:ascii="Times New Roman" w:hAnsi="Times New Roman" w:eastAsia="宋体"/>
                <w:b/>
                <w:color w:val="000000"/>
                <w:sz w:val="18"/>
              </w:rPr>
              <w:t>准确率</w:t>
            </w:r>
          </w:p>
        </w:tc>
        <w:tc>
          <w:tcPr>
            <w:tcW w:type="dxa" w:w="1559"/>
            <w:vAlign w:val="center"/>
            <w:shd w:fill="EDF1F4"/>
          </w:tcPr>
          <w:p>
            <w:pPr>
              <w:spacing w:before="20" w:after="20" w:line="269" w:lineRule="auto"/>
              <w:jc w:val="center"/>
            </w:pPr>
            <w:r>
              <w:rPr>
                <w:rFonts w:ascii="Times New Roman" w:hAnsi="Times New Roman" w:eastAsia="宋体"/>
                <w:b/>
                <w:color w:val="000000"/>
                <w:sz w:val="18"/>
              </w:rPr>
              <w:t>平衡准确率</w:t>
            </w:r>
          </w:p>
        </w:tc>
        <w:tc>
          <w:tcPr>
            <w:tcW w:type="dxa" w:w="1559"/>
            <w:vAlign w:val="center"/>
            <w:shd w:fill="EDF1F4"/>
          </w:tcPr>
          <w:p>
            <w:pPr>
              <w:spacing w:before="20" w:after="20" w:line="269" w:lineRule="auto"/>
              <w:jc w:val="center"/>
            </w:pPr>
            <w:r>
              <w:rPr>
                <w:rFonts w:ascii="Times New Roman" w:hAnsi="Times New Roman" w:eastAsia="宋体"/>
                <w:b/>
                <w:color w:val="000000"/>
                <w:sz w:val="18"/>
              </w:rPr>
              <w:t>召回率</w:t>
            </w:r>
          </w:p>
        </w:tc>
        <w:tc>
          <w:tcPr>
            <w:tcW w:type="dxa" w:w="1559"/>
            <w:vAlign w:val="center"/>
            <w:shd w:fill="EDF1F4"/>
          </w:tcPr>
          <w:p>
            <w:pPr>
              <w:spacing w:before="20" w:after="20" w:line="269" w:lineRule="auto"/>
              <w:jc w:val="center"/>
            </w:pPr>
            <w:r>
              <w:rPr>
                <w:rFonts w:ascii="Times New Roman" w:hAnsi="Times New Roman" w:eastAsia="宋体"/>
                <w:b/>
                <w:color w:val="000000"/>
                <w:sz w:val="18"/>
              </w:rPr>
              <w:t>精确率</w:t>
            </w:r>
          </w:p>
        </w:tc>
        <w:tc>
          <w:tcPr>
            <w:tcW w:type="dxa" w:w="1559"/>
            <w:vAlign w:val="center"/>
            <w:shd w:fill="EDF1F4"/>
          </w:tcPr>
          <w:p>
            <w:pPr>
              <w:spacing w:before="20" w:after="20" w:line="269" w:lineRule="auto"/>
              <w:jc w:val="center"/>
            </w:pPr>
            <w:r>
              <w:rPr>
                <w:rFonts w:ascii="Times New Roman" w:hAnsi="Times New Roman" w:eastAsia="宋体"/>
                <w:b/>
                <w:color w:val="000000"/>
                <w:sz w:val="18"/>
              </w:rPr>
              <w:t>F1</w:t>
            </w:r>
          </w:p>
        </w:tc>
        <w:tc>
          <w:tcPr>
            <w:tcW w:type="dxa" w:w="1559"/>
            <w:vAlign w:val="center"/>
            <w:shd w:fill="EDF1F4"/>
          </w:tcPr>
          <w:p>
            <w:pPr>
              <w:spacing w:before="20" w:after="20" w:line="269" w:lineRule="auto"/>
              <w:jc w:val="center"/>
            </w:pPr>
            <w:r>
              <w:rPr>
                <w:rFonts w:ascii="Times New Roman" w:hAnsi="Times New Roman" w:eastAsia="宋体"/>
                <w:b/>
                <w:color w:val="000000"/>
                <w:sz w:val="18"/>
              </w:rPr>
              <w:t>ROC AUC</w:t>
            </w:r>
          </w:p>
        </w:tc>
      </w:tr>
      <w:tr>
        <w:trPr>
          <w:cantSplit/>
        </w:trPr>
        <w:tc>
          <w:tcPr>
            <w:tcW w:type="dxa" w:w="1559"/>
            <w:vAlign w:val="center"/>
          </w:tcPr>
          <w:p>
            <w:pPr>
              <w:spacing w:before="20" w:after="20" w:line="269" w:lineRule="auto"/>
              <w:jc w:val="center"/>
            </w:pPr>
            <w:r>
              <w:rPr>
                <w:rFonts w:ascii="Times New Roman" w:hAnsi="Times New Roman" w:eastAsia="宋体"/>
                <w:b w:val="0"/>
                <w:color w:val="000000"/>
                <w:sz w:val="18"/>
              </w:rPr>
              <w:t>93.41%</w:t>
            </w:r>
          </w:p>
        </w:tc>
        <w:tc>
          <w:tcPr>
            <w:tcW w:type="dxa" w:w="1559"/>
            <w:vAlign w:val="center"/>
          </w:tcPr>
          <w:p>
            <w:pPr>
              <w:spacing w:before="20" w:after="20" w:line="269" w:lineRule="auto"/>
              <w:jc w:val="center"/>
            </w:pPr>
            <w:r>
              <w:rPr>
                <w:rFonts w:ascii="Times New Roman" w:hAnsi="Times New Roman" w:eastAsia="宋体"/>
                <w:b w:val="0"/>
                <w:color w:val="000000"/>
                <w:sz w:val="18"/>
              </w:rPr>
              <w:t>82.07%</w:t>
            </w:r>
          </w:p>
        </w:tc>
        <w:tc>
          <w:tcPr>
            <w:tcW w:type="dxa" w:w="1559"/>
            <w:vAlign w:val="center"/>
          </w:tcPr>
          <w:p>
            <w:pPr>
              <w:spacing w:before="20" w:after="20" w:line="269" w:lineRule="auto"/>
              <w:jc w:val="center"/>
            </w:pPr>
            <w:r>
              <w:rPr>
                <w:rFonts w:ascii="Times New Roman" w:hAnsi="Times New Roman" w:eastAsia="宋体"/>
                <w:b w:val="0"/>
                <w:color w:val="000000"/>
                <w:sz w:val="18"/>
              </w:rPr>
              <w:t>66.67%</w:t>
            </w:r>
          </w:p>
        </w:tc>
        <w:tc>
          <w:tcPr>
            <w:tcW w:type="dxa" w:w="1559"/>
            <w:vAlign w:val="center"/>
          </w:tcPr>
          <w:p>
            <w:pPr>
              <w:spacing w:before="20" w:after="20" w:line="269" w:lineRule="auto"/>
              <w:jc w:val="center"/>
            </w:pPr>
            <w:r>
              <w:rPr>
                <w:rFonts w:ascii="Times New Roman" w:hAnsi="Times New Roman" w:eastAsia="宋体"/>
                <w:b w:val="0"/>
                <w:color w:val="000000"/>
                <w:sz w:val="18"/>
              </w:rPr>
              <w:t>80.00%</w:t>
            </w:r>
          </w:p>
        </w:tc>
        <w:tc>
          <w:tcPr>
            <w:tcW w:type="dxa" w:w="1559"/>
            <w:vAlign w:val="center"/>
          </w:tcPr>
          <w:p>
            <w:pPr>
              <w:spacing w:before="20" w:after="20" w:line="269" w:lineRule="auto"/>
              <w:jc w:val="center"/>
            </w:pPr>
            <w:r>
              <w:rPr>
                <w:rFonts w:ascii="Times New Roman" w:hAnsi="Times New Roman" w:eastAsia="宋体"/>
                <w:b w:val="0"/>
                <w:color w:val="000000"/>
                <w:sz w:val="18"/>
              </w:rPr>
              <w:t>0.727</w:t>
            </w:r>
          </w:p>
        </w:tc>
        <w:tc>
          <w:tcPr>
            <w:tcW w:type="dxa" w:w="1559"/>
            <w:vAlign w:val="center"/>
          </w:tcPr>
          <w:p>
            <w:pPr>
              <w:spacing w:before="20" w:after="20" w:line="269" w:lineRule="auto"/>
              <w:jc w:val="center"/>
            </w:pPr>
            <w:r>
              <w:rPr>
                <w:rFonts w:ascii="Times New Roman" w:hAnsi="Times New Roman" w:eastAsia="宋体"/>
                <w:b w:val="0"/>
                <w:color w:val="000000"/>
                <w:sz w:val="18"/>
              </w:rPr>
              <w:t>0.895</w:t>
            </w:r>
          </w:p>
        </w:tc>
      </w:tr>
    </w:tbl>
    <w:p>
      <w:pPr>
        <w:keepNext w:val="0"/>
        <w:widowControl/>
        <w:spacing w:before="0" w:after="20" w:line="293" w:lineRule="auto"/>
      </w:pPr>
    </w:p>
    <w:p>
      <w:pPr>
        <w:keepNext/>
        <w:widowControl/>
        <w:spacing w:before="0" w:after="0" w:line="293" w:lineRule="auto"/>
        <w:jc w:val="center"/>
      </w:pPr>
      <w:r>
        <w:drawing>
          <wp:inline distT="0" distB="0" distL="114300" distR="114300">
            <wp:extent cx="2772000" cy="2507464"/>
            <wp:effectExtent l="0" t="0" r="12065" b="5080"/>
            <wp:docPr id="1000" name="Picture 12" descr="个性化生理预警模型固定测试集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2772000" cy="2507464"/>
                    </a:xfrm>
                    <a:prstGeom prst="rect">
                      <a:avLst/>
                    </a:prstGeom>
                  </pic:spPr>
                </pic:pic>
              </a:graphicData>
            </a:graphic>
          </wp:inline>
        </w:drawing>
      </w:r>
      <w:r>
        <w:rPr>
          <w:rFonts w:ascii="Times New Roman" w:hAnsi="Times New Roman" w:eastAsia="宋体"/>
          <w:color w:val="000000"/>
          <w:sz w:val="16"/>
        </w:rPr>
        <w:t xml:space="preserve">  </w:t>
      </w:r>
      <w:r>
        <w:drawing>
          <wp:inline distT="0" distB="0" distL="114300" distR="114300">
            <wp:extent cx="2772000" cy="2551961"/>
            <wp:effectExtent l="0" t="0" r="12065" b="8255"/>
            <wp:docPr id="1001" name="Picture 13" descr="个性化生理预警模型固定测试集ROC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2772000" cy="2551961"/>
                    </a:xfrm>
                    <a:prstGeom prst="rect">
                      <a:avLst/>
                    </a:prstGeom>
                  </pic:spPr>
                </pic:pic>
              </a:graphicData>
            </a:graphic>
          </wp:inline>
        </w:drawing>
      </w:r>
    </w:p>
    <w:p>
      <w:pPr>
        <w:pStyle w:val="15"/>
        <w:keepNext w:val="0"/>
        <w:widowControl/>
        <w:spacing w:before="0" w:after="100" w:line="293" w:lineRule="auto"/>
        <w:jc w:val="center"/>
      </w:pPr>
      <w:r>
        <w:rPr>
          <w:rFonts w:ascii="Times New Roman" w:hAnsi="Times New Roman" w:eastAsia="宋体"/>
          <w:color w:val="000000"/>
          <w:sz w:val="18"/>
        </w:rPr>
        <w:t>个性化模型固定测试集混淆矩阵及 ROC 曲线</w:t>
      </w:r>
    </w:p>
    <w:p>
      <w:pPr>
        <w:keepNext w:val="0"/>
        <w:widowControl/>
        <w:spacing w:before="0" w:after="100" w:line="293" w:lineRule="auto"/>
      </w:pPr>
      <w:r>
        <w:rPr>
          <w:rFonts w:ascii="Times New Roman" w:hAnsi="Times New Roman" w:eastAsia="宋体"/>
          <w:color w:val="000000"/>
          <w:sz w:val="20"/>
        </w:rPr>
        <w:t>固定测试中正确识别8个预警标签、漏掉4个，另有2个误报。其准确率为93.41%，但召回率为66.67%；两者应同时汇报。训练来源为住院监测场景，不能据此推断在所有社区老人中有相同性能。</w:t>
      </w:r>
    </w:p>
    <w:p>
      <w:pPr>
        <w:pStyle w:val="4"/>
        <w:keepNext/>
        <w:pageBreakBefore w:val="0"/>
        <w:widowControl/>
        <w:spacing w:before="160" w:after="100" w:line="293" w:lineRule="auto"/>
      </w:pPr>
      <w:r>
        <w:rPr>
          <w:rFonts w:ascii="Times New Roman" w:hAnsi="Times New Roman" w:eastAsia="宋体"/>
          <w:b w:val="0"/>
          <w:color w:val="000000"/>
          <w:sz w:val="24"/>
        </w:rPr>
        <w:t>2 预测值与个人变化的结合</w:t>
      </w:r>
    </w:p>
    <w:p>
      <w:pPr>
        <w:keepNext w:val="0"/>
        <w:widowControl/>
        <w:spacing w:before="0" w:after="100" w:line="293" w:lineRule="auto"/>
      </w:pPr>
      <w:r>
        <w:rPr>
          <w:rFonts w:ascii="Times New Roman" w:hAnsi="Times New Roman" w:eastAsia="宋体"/>
          <w:color w:val="000000"/>
          <w:sz w:val="20"/>
        </w:rPr>
        <w:t>在线预测首先汇总本次及此前24小时可用实测，形成模型输入；再与近30天内最多30条既往记录比较，计算个人变化。通常需要至少3条可比较记录才能形成有效个人基线。模型输出达到阈值或个人变化达到规则界线时提示关注，两者及实测异常共同参与最终风险等级。</w:t>
      </w:r>
    </w:p>
    <w:p>
      <w:pPr>
        <w:keepNext w:val="0"/>
        <w:widowControl/>
        <w:spacing w:before="0" w:after="100" w:line="293" w:lineRule="auto"/>
      </w:pPr>
      <w:r>
        <w:rPr>
          <w:rFonts w:ascii="Times New Roman" w:hAnsi="Times New Roman" w:eastAsia="宋体"/>
          <w:color w:val="000000"/>
          <w:sz w:val="20"/>
        </w:rPr>
        <w:t>页面展示正常、关注、高风险或暂无法评估，并保留主要原因、严重单项异常和测量趋势。这里的“正常”只表示本系统当前规则下未触发预警，不能作为确诊或安全证明。</w:t>
      </w:r>
    </w:p>
    <w:p>
      <w:pPr>
        <w:pStyle w:val="4"/>
        <w:keepNext/>
        <w:pageBreakBefore/>
        <w:widowControl/>
        <w:spacing w:before="0" w:after="100" w:line="293" w:lineRule="auto"/>
      </w:pPr>
      <w:r>
        <w:rPr>
          <w:rFonts w:ascii="Times New Roman" w:hAnsi="Times New Roman" w:eastAsia="宋体"/>
          <w:b w:val="0"/>
          <w:color w:val="000000"/>
          <w:sz w:val="24"/>
        </w:rPr>
        <w:t>3 五病种模型与版本分工</w:t>
      </w:r>
    </w:p>
    <w:p>
      <w:pPr>
        <w:keepNext w:val="0"/>
        <w:widowControl/>
        <w:spacing w:before="0" w:after="100" w:line="293" w:lineRule="auto"/>
      </w:pPr>
      <w:r>
        <w:rPr>
          <w:rFonts w:ascii="Times New Roman" w:hAnsi="Times New Roman" w:eastAsia="宋体"/>
          <w:color w:val="000000"/>
          <w:sz w:val="20"/>
        </w:rPr>
        <w:t>五病种分别训练二分类模型：同一老人可以对多个病种同时得到风险结果，因此属于多标签任务，不是五选一分类。网站当前固定加载优化版本 nhefs5-opt-20261015-v2，逐病种比较逻辑回归和 XGBoost，并按开发集规则选择模型与阈值。</w:t>
      </w:r>
    </w:p>
    <w:p>
      <w:pPr>
        <w:keepNext w:val="0"/>
        <w:widowControl/>
        <w:spacing w:before="0" w:after="100" w:line="293" w:lineRule="auto"/>
      </w:pPr>
      <w:r>
        <w:rPr>
          <w:rFonts w:ascii="Times New Roman" w:hAnsi="Times New Roman" w:eastAsia="宋体"/>
          <w:color w:val="000000"/>
          <w:sz w:val="20"/>
        </w:rPr>
        <w:t>本报告所用12张新图来自单独保存的 ExtraTrees 实验版本 overlap-20261017-demo。该实验采用400棵树、类别平衡权重、固定随机种子和0.5分类阈值，保留中位数填补与缺失指示。生成文档和重绘图表均未改变这套权重。</w:t>
      </w:r>
    </w:p>
    <w:p>
      <w:pPr>
        <w:keepNext w:val="0"/>
        <w:widowControl/>
        <w:spacing w:before="0" w:after="100" w:line="293" w:lineRule="auto"/>
      </w:pPr>
      <w:r>
        <w:rPr>
          <w:rFonts w:ascii="Times New Roman" w:hAnsi="Times New Roman" w:eastAsia="宋体"/>
          <w:color w:val="000000"/>
          <w:sz w:val="20"/>
        </w:rPr>
        <w:t>评估范围说明：这组图对全部原评估人员统计，其中包含参加过拟合的人员，所以属于非独立实验评估。训练拟合分数与全体评估分数分别显示，高分不能写成网站部署版本的独立测试性能；原始成员清单、逐人预测和实验配置均保留。</w:t>
      </w:r>
    </w:p>
    <w:p>
      <w:pPr>
        <w:pStyle w:val="4"/>
        <w:keepNext/>
        <w:pageBreakBefore w:val="0"/>
        <w:widowControl/>
        <w:spacing w:before="160" w:after="100" w:line="293" w:lineRule="auto"/>
      </w:pPr>
      <w:r>
        <w:rPr>
          <w:rFonts w:ascii="Times New Roman" w:hAnsi="Times New Roman" w:eastAsia="宋体"/>
          <w:b w:val="0"/>
          <w:color w:val="000000"/>
          <w:sz w:val="24"/>
        </w:rPr>
        <w:t>4 五病种实验指标横向汇总</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417"/>
        <w:gridCol w:w="794"/>
        <w:gridCol w:w="1247"/>
        <w:gridCol w:w="1361"/>
        <w:gridCol w:w="1247"/>
        <w:gridCol w:w="1247"/>
        <w:gridCol w:w="1020"/>
        <w:gridCol w:w="1020"/>
      </w:tblGrid>
      <w:tr>
        <w:trPr>
          <w:cantSplit/>
          <w:tblHeader/>
        </w:trPr>
        <w:tc>
          <w:tcPr>
            <w:tcW w:type="dxa" w:w="1417"/>
            <w:vAlign w:val="center"/>
            <w:shd w:fill="EDF1F4"/>
          </w:tcPr>
          <w:p>
            <w:pPr>
              <w:spacing w:before="20" w:after="20" w:line="269" w:lineRule="auto"/>
              <w:jc w:val="center"/>
            </w:pPr>
            <w:r>
              <w:rPr>
                <w:rFonts w:ascii="Times New Roman" w:hAnsi="Times New Roman" w:eastAsia="宋体"/>
                <w:b/>
                <w:color w:val="000000"/>
                <w:sz w:val="18"/>
              </w:rPr>
              <w:t>病种</w:t>
            </w:r>
          </w:p>
        </w:tc>
        <w:tc>
          <w:tcPr>
            <w:tcW w:type="dxa" w:w="794"/>
            <w:vAlign w:val="center"/>
            <w:shd w:fill="EDF1F4"/>
          </w:tcPr>
          <w:p>
            <w:pPr>
              <w:spacing w:before="20" w:after="20" w:line="269" w:lineRule="auto"/>
              <w:jc w:val="center"/>
            </w:pPr>
            <w:r>
              <w:rPr>
                <w:rFonts w:ascii="Times New Roman" w:hAnsi="Times New Roman" w:eastAsia="宋体"/>
                <w:b/>
                <w:color w:val="000000"/>
                <w:sz w:val="18"/>
              </w:rPr>
              <w:t>人数</w:t>
            </w:r>
          </w:p>
        </w:tc>
        <w:tc>
          <w:tcPr>
            <w:tcW w:type="dxa" w:w="1247"/>
            <w:vAlign w:val="center"/>
            <w:shd w:fill="EDF1F4"/>
          </w:tcPr>
          <w:p>
            <w:pPr>
              <w:spacing w:before="20" w:after="20" w:line="269" w:lineRule="auto"/>
              <w:jc w:val="center"/>
            </w:pPr>
            <w:r>
              <w:rPr>
                <w:rFonts w:ascii="Times New Roman" w:hAnsi="Times New Roman" w:eastAsia="宋体"/>
                <w:b/>
                <w:color w:val="000000"/>
                <w:sz w:val="18"/>
              </w:rPr>
              <w:t>准确率</w:t>
            </w:r>
          </w:p>
        </w:tc>
        <w:tc>
          <w:tcPr>
            <w:tcW w:type="dxa" w:w="1361"/>
            <w:vAlign w:val="center"/>
            <w:shd w:fill="EDF1F4"/>
          </w:tcPr>
          <w:p>
            <w:pPr>
              <w:spacing w:before="20" w:after="20" w:line="269" w:lineRule="auto"/>
              <w:jc w:val="center"/>
            </w:pPr>
            <w:r>
              <w:rPr>
                <w:rFonts w:ascii="Times New Roman" w:hAnsi="Times New Roman" w:eastAsia="宋体"/>
                <w:b/>
                <w:color w:val="000000"/>
                <w:sz w:val="18"/>
              </w:rPr>
              <w:t>平衡</w:t>
              <w:br/>
              <w:t>准确率</w:t>
            </w:r>
          </w:p>
        </w:tc>
        <w:tc>
          <w:tcPr>
            <w:tcW w:type="dxa" w:w="1247"/>
            <w:vAlign w:val="center"/>
            <w:shd w:fill="EDF1F4"/>
          </w:tcPr>
          <w:p>
            <w:pPr>
              <w:spacing w:before="20" w:after="20" w:line="269" w:lineRule="auto"/>
              <w:jc w:val="center"/>
            </w:pPr>
            <w:r>
              <w:rPr>
                <w:rFonts w:ascii="Times New Roman" w:hAnsi="Times New Roman" w:eastAsia="宋体"/>
                <w:b/>
                <w:color w:val="000000"/>
                <w:sz w:val="18"/>
              </w:rPr>
              <w:t>召回率</w:t>
            </w:r>
          </w:p>
        </w:tc>
        <w:tc>
          <w:tcPr>
            <w:tcW w:type="dxa" w:w="1247"/>
            <w:vAlign w:val="center"/>
            <w:shd w:fill="EDF1F4"/>
          </w:tcPr>
          <w:p>
            <w:pPr>
              <w:spacing w:before="20" w:after="20" w:line="269" w:lineRule="auto"/>
              <w:jc w:val="center"/>
            </w:pPr>
            <w:r>
              <w:rPr>
                <w:rFonts w:ascii="Times New Roman" w:hAnsi="Times New Roman" w:eastAsia="宋体"/>
                <w:b/>
                <w:color w:val="000000"/>
                <w:sz w:val="18"/>
              </w:rPr>
              <w:t>精确率</w:t>
            </w:r>
          </w:p>
        </w:tc>
        <w:tc>
          <w:tcPr>
            <w:tcW w:type="dxa" w:w="1020"/>
            <w:vAlign w:val="center"/>
            <w:shd w:fill="EDF1F4"/>
          </w:tcPr>
          <w:p>
            <w:pPr>
              <w:spacing w:before="20" w:after="20" w:line="269" w:lineRule="auto"/>
              <w:jc w:val="center"/>
            </w:pPr>
            <w:r>
              <w:rPr>
                <w:rFonts w:ascii="Times New Roman" w:hAnsi="Times New Roman" w:eastAsia="宋体"/>
                <w:b/>
                <w:color w:val="000000"/>
                <w:sz w:val="18"/>
              </w:rPr>
              <w:t>F1</w:t>
            </w:r>
          </w:p>
        </w:tc>
        <w:tc>
          <w:tcPr>
            <w:tcW w:type="dxa" w:w="1020"/>
            <w:vAlign w:val="center"/>
            <w:shd w:fill="EDF1F4"/>
          </w:tcPr>
          <w:p>
            <w:pPr>
              <w:spacing w:before="20" w:after="20" w:line="269" w:lineRule="auto"/>
              <w:jc w:val="center"/>
            </w:pPr>
            <w:r>
              <w:rPr>
                <w:rFonts w:ascii="Times New Roman" w:hAnsi="Times New Roman" w:eastAsia="宋体"/>
                <w:b/>
                <w:color w:val="000000"/>
                <w:sz w:val="18"/>
              </w:rPr>
              <w:t>ROC</w:t>
              <w:br/>
              <w:t>AUC</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高血压</w:t>
            </w:r>
          </w:p>
        </w:tc>
        <w:tc>
          <w:tcPr>
            <w:tcW w:type="dxa" w:w="794"/>
            <w:vAlign w:val="center"/>
          </w:tcPr>
          <w:p>
            <w:pPr>
              <w:spacing w:before="20" w:after="20" w:line="269" w:lineRule="auto"/>
              <w:jc w:val="center"/>
            </w:pPr>
            <w:r>
              <w:rPr>
                <w:rFonts w:ascii="Times New Roman" w:hAnsi="Times New Roman" w:eastAsia="宋体"/>
                <w:b w:val="0"/>
                <w:color w:val="000000"/>
                <w:sz w:val="18"/>
              </w:rPr>
              <w:t>171</w:t>
            </w:r>
          </w:p>
        </w:tc>
        <w:tc>
          <w:tcPr>
            <w:tcW w:type="dxa" w:w="1247"/>
            <w:vAlign w:val="center"/>
          </w:tcPr>
          <w:p>
            <w:pPr>
              <w:spacing w:before="20" w:after="20" w:line="269" w:lineRule="auto"/>
              <w:jc w:val="center"/>
            </w:pPr>
            <w:r>
              <w:rPr>
                <w:rFonts w:ascii="Times New Roman" w:hAnsi="Times New Roman" w:eastAsia="宋体"/>
                <w:b w:val="0"/>
                <w:color w:val="000000"/>
                <w:sz w:val="18"/>
              </w:rPr>
              <w:t>97.66%</w:t>
            </w:r>
          </w:p>
        </w:tc>
        <w:tc>
          <w:tcPr>
            <w:tcW w:type="dxa" w:w="1361"/>
            <w:vAlign w:val="center"/>
          </w:tcPr>
          <w:p>
            <w:pPr>
              <w:spacing w:before="20" w:after="20" w:line="269" w:lineRule="auto"/>
              <w:jc w:val="center"/>
            </w:pPr>
            <w:r>
              <w:rPr>
                <w:rFonts w:ascii="Times New Roman" w:hAnsi="Times New Roman" w:eastAsia="宋体"/>
                <w:b w:val="0"/>
                <w:color w:val="000000"/>
                <w:sz w:val="18"/>
              </w:rPr>
              <w:t>88.15%</w:t>
            </w:r>
          </w:p>
        </w:tc>
        <w:tc>
          <w:tcPr>
            <w:tcW w:type="dxa" w:w="1247"/>
            <w:vAlign w:val="center"/>
          </w:tcPr>
          <w:p>
            <w:pPr>
              <w:spacing w:before="20" w:after="20" w:line="269" w:lineRule="auto"/>
              <w:jc w:val="center"/>
            </w:pPr>
            <w:r>
              <w:rPr>
                <w:rFonts w:ascii="Times New Roman" w:hAnsi="Times New Roman" w:eastAsia="宋体"/>
                <w:b w:val="0"/>
                <w:color w:val="000000"/>
                <w:sz w:val="18"/>
              </w:rPr>
              <w:t>76.92%</w:t>
            </w:r>
          </w:p>
        </w:tc>
        <w:tc>
          <w:tcPr>
            <w:tcW w:type="dxa" w:w="1247"/>
            <w:vAlign w:val="center"/>
          </w:tcPr>
          <w:p>
            <w:pPr>
              <w:spacing w:before="20" w:after="20" w:line="269" w:lineRule="auto"/>
              <w:jc w:val="center"/>
            </w:pPr>
            <w:r>
              <w:rPr>
                <w:rFonts w:ascii="Times New Roman" w:hAnsi="Times New Roman" w:eastAsia="宋体"/>
                <w:b w:val="0"/>
                <w:color w:val="000000"/>
                <w:sz w:val="18"/>
              </w:rPr>
              <w:t>90.91%</w:t>
            </w:r>
          </w:p>
        </w:tc>
        <w:tc>
          <w:tcPr>
            <w:tcW w:type="dxa" w:w="1020"/>
            <w:vAlign w:val="center"/>
          </w:tcPr>
          <w:p>
            <w:pPr>
              <w:spacing w:before="20" w:after="20" w:line="269" w:lineRule="auto"/>
              <w:jc w:val="center"/>
            </w:pPr>
            <w:r>
              <w:rPr>
                <w:rFonts w:ascii="Times New Roman" w:hAnsi="Times New Roman" w:eastAsia="宋体"/>
                <w:b w:val="0"/>
                <w:color w:val="000000"/>
                <w:sz w:val="18"/>
              </w:rPr>
              <w:t>0.833</w:t>
            </w:r>
          </w:p>
        </w:tc>
        <w:tc>
          <w:tcPr>
            <w:tcW w:type="dxa" w:w="1020"/>
            <w:vAlign w:val="center"/>
          </w:tcPr>
          <w:p>
            <w:pPr>
              <w:spacing w:before="20" w:after="20" w:line="269" w:lineRule="auto"/>
              <w:jc w:val="center"/>
            </w:pPr>
            <w:r>
              <w:rPr>
                <w:rFonts w:ascii="Times New Roman" w:hAnsi="Times New Roman" w:eastAsia="宋体"/>
                <w:b w:val="0"/>
                <w:color w:val="000000"/>
                <w:sz w:val="18"/>
              </w:rPr>
              <w:t>0.974</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糖尿病</w:t>
            </w:r>
          </w:p>
        </w:tc>
        <w:tc>
          <w:tcPr>
            <w:tcW w:type="dxa" w:w="794"/>
            <w:vAlign w:val="center"/>
          </w:tcPr>
          <w:p>
            <w:pPr>
              <w:spacing w:before="20" w:after="20" w:line="269" w:lineRule="auto"/>
              <w:jc w:val="center"/>
            </w:pPr>
            <w:r>
              <w:rPr>
                <w:rFonts w:ascii="Times New Roman" w:hAnsi="Times New Roman" w:eastAsia="宋体"/>
                <w:b w:val="0"/>
                <w:color w:val="000000"/>
                <w:sz w:val="18"/>
              </w:rPr>
              <w:t>360</w:t>
            </w:r>
          </w:p>
        </w:tc>
        <w:tc>
          <w:tcPr>
            <w:tcW w:type="dxa" w:w="1247"/>
            <w:vAlign w:val="center"/>
          </w:tcPr>
          <w:p>
            <w:pPr>
              <w:spacing w:before="20" w:after="20" w:line="269" w:lineRule="auto"/>
              <w:jc w:val="center"/>
            </w:pPr>
            <w:r>
              <w:rPr>
                <w:rFonts w:ascii="Times New Roman" w:hAnsi="Times New Roman" w:eastAsia="宋体"/>
                <w:b w:val="0"/>
                <w:color w:val="000000"/>
                <w:sz w:val="18"/>
              </w:rPr>
              <w:t>99.44%</w:t>
            </w:r>
          </w:p>
        </w:tc>
        <w:tc>
          <w:tcPr>
            <w:tcW w:type="dxa" w:w="1361"/>
            <w:vAlign w:val="center"/>
          </w:tcPr>
          <w:p>
            <w:pPr>
              <w:spacing w:before="20" w:after="20" w:line="269" w:lineRule="auto"/>
              <w:jc w:val="center"/>
            </w:pPr>
            <w:r>
              <w:rPr>
                <w:rFonts w:ascii="Times New Roman" w:hAnsi="Times New Roman" w:eastAsia="宋体"/>
                <w:b w:val="0"/>
                <w:color w:val="000000"/>
                <w:sz w:val="18"/>
              </w:rPr>
              <w:t>83.33%</w:t>
            </w:r>
          </w:p>
        </w:tc>
        <w:tc>
          <w:tcPr>
            <w:tcW w:type="dxa" w:w="1247"/>
            <w:vAlign w:val="center"/>
          </w:tcPr>
          <w:p>
            <w:pPr>
              <w:spacing w:before="20" w:after="20" w:line="269" w:lineRule="auto"/>
              <w:jc w:val="center"/>
            </w:pPr>
            <w:r>
              <w:rPr>
                <w:rFonts w:ascii="Times New Roman" w:hAnsi="Times New Roman" w:eastAsia="宋体"/>
                <w:b w:val="0"/>
                <w:color w:val="000000"/>
                <w:sz w:val="18"/>
              </w:rPr>
              <w:t>66.67%</w:t>
            </w:r>
          </w:p>
        </w:tc>
        <w:tc>
          <w:tcPr>
            <w:tcW w:type="dxa" w:w="1247"/>
            <w:vAlign w:val="center"/>
          </w:tcPr>
          <w:p>
            <w:pPr>
              <w:spacing w:before="20" w:after="20" w:line="269" w:lineRule="auto"/>
              <w:jc w:val="center"/>
            </w:pPr>
            <w:r>
              <w:rPr>
                <w:rFonts w:ascii="Times New Roman" w:hAnsi="Times New Roman" w:eastAsia="宋体"/>
                <w:b w:val="0"/>
                <w:color w:val="000000"/>
                <w:sz w:val="18"/>
              </w:rPr>
              <w:t>100.00%</w:t>
            </w:r>
          </w:p>
        </w:tc>
        <w:tc>
          <w:tcPr>
            <w:tcW w:type="dxa" w:w="1020"/>
            <w:vAlign w:val="center"/>
          </w:tcPr>
          <w:p>
            <w:pPr>
              <w:spacing w:before="20" w:after="20" w:line="269" w:lineRule="auto"/>
              <w:jc w:val="center"/>
            </w:pPr>
            <w:r>
              <w:rPr>
                <w:rFonts w:ascii="Times New Roman" w:hAnsi="Times New Roman" w:eastAsia="宋体"/>
                <w:b w:val="0"/>
                <w:color w:val="000000"/>
                <w:sz w:val="18"/>
              </w:rPr>
              <w:t>0.800</w:t>
            </w:r>
          </w:p>
        </w:tc>
        <w:tc>
          <w:tcPr>
            <w:tcW w:type="dxa" w:w="1020"/>
            <w:vAlign w:val="center"/>
          </w:tcPr>
          <w:p>
            <w:pPr>
              <w:spacing w:before="20" w:after="20" w:line="269" w:lineRule="auto"/>
              <w:jc w:val="center"/>
            </w:pPr>
            <w:r>
              <w:rPr>
                <w:rFonts w:ascii="Times New Roman" w:hAnsi="Times New Roman" w:eastAsia="宋体"/>
                <w:b w:val="0"/>
                <w:color w:val="000000"/>
                <w:sz w:val="18"/>
              </w:rPr>
              <w:t>0.993</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卒中</w:t>
            </w:r>
          </w:p>
        </w:tc>
        <w:tc>
          <w:tcPr>
            <w:tcW w:type="dxa" w:w="794"/>
            <w:vAlign w:val="center"/>
          </w:tcPr>
          <w:p>
            <w:pPr>
              <w:spacing w:before="20" w:after="20" w:line="269" w:lineRule="auto"/>
              <w:jc w:val="center"/>
            </w:pPr>
            <w:r>
              <w:rPr>
                <w:rFonts w:ascii="Times New Roman" w:hAnsi="Times New Roman" w:eastAsia="宋体"/>
                <w:b w:val="0"/>
                <w:color w:val="000000"/>
                <w:sz w:val="18"/>
              </w:rPr>
              <w:t>366</w:t>
            </w:r>
          </w:p>
        </w:tc>
        <w:tc>
          <w:tcPr>
            <w:tcW w:type="dxa" w:w="1247"/>
            <w:vAlign w:val="center"/>
          </w:tcPr>
          <w:p>
            <w:pPr>
              <w:spacing w:before="20" w:after="20" w:line="269" w:lineRule="auto"/>
              <w:jc w:val="center"/>
            </w:pPr>
            <w:r>
              <w:rPr>
                <w:rFonts w:ascii="Times New Roman" w:hAnsi="Times New Roman" w:eastAsia="宋体"/>
                <w:b w:val="0"/>
                <w:color w:val="000000"/>
                <w:sz w:val="18"/>
              </w:rPr>
              <w:t>98.91%</w:t>
            </w:r>
          </w:p>
        </w:tc>
        <w:tc>
          <w:tcPr>
            <w:tcW w:type="dxa" w:w="1361"/>
            <w:vAlign w:val="center"/>
          </w:tcPr>
          <w:p>
            <w:pPr>
              <w:spacing w:before="20" w:after="20" w:line="269" w:lineRule="auto"/>
              <w:jc w:val="center"/>
            </w:pPr>
            <w:r>
              <w:rPr>
                <w:rFonts w:ascii="Times New Roman" w:hAnsi="Times New Roman" w:eastAsia="宋体"/>
                <w:b w:val="0"/>
                <w:color w:val="000000"/>
                <w:sz w:val="18"/>
              </w:rPr>
              <w:t>85.71%</w:t>
            </w:r>
          </w:p>
        </w:tc>
        <w:tc>
          <w:tcPr>
            <w:tcW w:type="dxa" w:w="1247"/>
            <w:vAlign w:val="center"/>
          </w:tcPr>
          <w:p>
            <w:pPr>
              <w:spacing w:before="20" w:after="20" w:line="269" w:lineRule="auto"/>
              <w:jc w:val="center"/>
            </w:pPr>
            <w:r>
              <w:rPr>
                <w:rFonts w:ascii="Times New Roman" w:hAnsi="Times New Roman" w:eastAsia="宋体"/>
                <w:b w:val="0"/>
                <w:color w:val="000000"/>
                <w:sz w:val="18"/>
              </w:rPr>
              <w:t>71.43%</w:t>
            </w:r>
          </w:p>
        </w:tc>
        <w:tc>
          <w:tcPr>
            <w:tcW w:type="dxa" w:w="1247"/>
            <w:vAlign w:val="center"/>
          </w:tcPr>
          <w:p>
            <w:pPr>
              <w:spacing w:before="20" w:after="20" w:line="269" w:lineRule="auto"/>
              <w:jc w:val="center"/>
            </w:pPr>
            <w:r>
              <w:rPr>
                <w:rFonts w:ascii="Times New Roman" w:hAnsi="Times New Roman" w:eastAsia="宋体"/>
                <w:b w:val="0"/>
                <w:color w:val="000000"/>
                <w:sz w:val="18"/>
              </w:rPr>
              <w:t>100.00%</w:t>
            </w:r>
          </w:p>
        </w:tc>
        <w:tc>
          <w:tcPr>
            <w:tcW w:type="dxa" w:w="1020"/>
            <w:vAlign w:val="center"/>
          </w:tcPr>
          <w:p>
            <w:pPr>
              <w:spacing w:before="20" w:after="20" w:line="269" w:lineRule="auto"/>
              <w:jc w:val="center"/>
            </w:pPr>
            <w:r>
              <w:rPr>
                <w:rFonts w:ascii="Times New Roman" w:hAnsi="Times New Roman" w:eastAsia="宋体"/>
                <w:b w:val="0"/>
                <w:color w:val="000000"/>
                <w:sz w:val="18"/>
              </w:rPr>
              <w:t>0.833</w:t>
            </w:r>
          </w:p>
        </w:tc>
        <w:tc>
          <w:tcPr>
            <w:tcW w:type="dxa" w:w="1020"/>
            <w:vAlign w:val="center"/>
          </w:tcPr>
          <w:p>
            <w:pPr>
              <w:spacing w:before="20" w:after="20" w:line="269" w:lineRule="auto"/>
              <w:jc w:val="center"/>
            </w:pPr>
            <w:r>
              <w:rPr>
                <w:rFonts w:ascii="Times New Roman" w:hAnsi="Times New Roman" w:eastAsia="宋体"/>
                <w:b w:val="0"/>
                <w:color w:val="000000"/>
                <w:sz w:val="18"/>
              </w:rPr>
              <w:t>0.902</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心脏病发作</w:t>
            </w:r>
          </w:p>
        </w:tc>
        <w:tc>
          <w:tcPr>
            <w:tcW w:type="dxa" w:w="794"/>
            <w:vAlign w:val="center"/>
          </w:tcPr>
          <w:p>
            <w:pPr>
              <w:spacing w:before="20" w:after="20" w:line="269" w:lineRule="auto"/>
              <w:jc w:val="center"/>
            </w:pPr>
            <w:r>
              <w:rPr>
                <w:rFonts w:ascii="Times New Roman" w:hAnsi="Times New Roman" w:eastAsia="宋体"/>
                <w:b w:val="0"/>
                <w:color w:val="000000"/>
                <w:sz w:val="18"/>
              </w:rPr>
              <w:t>344</w:t>
            </w:r>
          </w:p>
        </w:tc>
        <w:tc>
          <w:tcPr>
            <w:tcW w:type="dxa" w:w="1247"/>
            <w:vAlign w:val="center"/>
          </w:tcPr>
          <w:p>
            <w:pPr>
              <w:spacing w:before="20" w:after="20" w:line="269" w:lineRule="auto"/>
              <w:jc w:val="center"/>
            </w:pPr>
            <w:r>
              <w:rPr>
                <w:rFonts w:ascii="Times New Roman" w:hAnsi="Times New Roman" w:eastAsia="宋体"/>
                <w:b w:val="0"/>
                <w:color w:val="000000"/>
                <w:sz w:val="18"/>
              </w:rPr>
              <w:t>99.13%</w:t>
            </w:r>
          </w:p>
        </w:tc>
        <w:tc>
          <w:tcPr>
            <w:tcW w:type="dxa" w:w="1361"/>
            <w:vAlign w:val="center"/>
          </w:tcPr>
          <w:p>
            <w:pPr>
              <w:spacing w:before="20" w:after="20" w:line="269" w:lineRule="auto"/>
              <w:jc w:val="center"/>
            </w:pPr>
            <w:r>
              <w:rPr>
                <w:rFonts w:ascii="Times New Roman" w:hAnsi="Times New Roman" w:eastAsia="宋体"/>
                <w:b w:val="0"/>
                <w:color w:val="000000"/>
                <w:sz w:val="18"/>
              </w:rPr>
              <w:t>88.46%</w:t>
            </w:r>
          </w:p>
        </w:tc>
        <w:tc>
          <w:tcPr>
            <w:tcW w:type="dxa" w:w="1247"/>
            <w:vAlign w:val="center"/>
          </w:tcPr>
          <w:p>
            <w:pPr>
              <w:spacing w:before="20" w:after="20" w:line="269" w:lineRule="auto"/>
              <w:jc w:val="center"/>
            </w:pPr>
            <w:r>
              <w:rPr>
                <w:rFonts w:ascii="Times New Roman" w:hAnsi="Times New Roman" w:eastAsia="宋体"/>
                <w:b w:val="0"/>
                <w:color w:val="000000"/>
                <w:sz w:val="18"/>
              </w:rPr>
              <w:t>76.92%</w:t>
            </w:r>
          </w:p>
        </w:tc>
        <w:tc>
          <w:tcPr>
            <w:tcW w:type="dxa" w:w="1247"/>
            <w:vAlign w:val="center"/>
          </w:tcPr>
          <w:p>
            <w:pPr>
              <w:spacing w:before="20" w:after="20" w:line="269" w:lineRule="auto"/>
              <w:jc w:val="center"/>
            </w:pPr>
            <w:r>
              <w:rPr>
                <w:rFonts w:ascii="Times New Roman" w:hAnsi="Times New Roman" w:eastAsia="宋体"/>
                <w:b w:val="0"/>
                <w:color w:val="000000"/>
                <w:sz w:val="18"/>
              </w:rPr>
              <w:t>100.00%</w:t>
            </w:r>
          </w:p>
        </w:tc>
        <w:tc>
          <w:tcPr>
            <w:tcW w:type="dxa" w:w="1020"/>
            <w:vAlign w:val="center"/>
          </w:tcPr>
          <w:p>
            <w:pPr>
              <w:spacing w:before="20" w:after="20" w:line="269" w:lineRule="auto"/>
              <w:jc w:val="center"/>
            </w:pPr>
            <w:r>
              <w:rPr>
                <w:rFonts w:ascii="Times New Roman" w:hAnsi="Times New Roman" w:eastAsia="宋体"/>
                <w:b w:val="0"/>
                <w:color w:val="000000"/>
                <w:sz w:val="18"/>
              </w:rPr>
              <w:t>0.870</w:t>
            </w:r>
          </w:p>
        </w:tc>
        <w:tc>
          <w:tcPr>
            <w:tcW w:type="dxa" w:w="1020"/>
            <w:vAlign w:val="center"/>
          </w:tcPr>
          <w:p>
            <w:pPr>
              <w:spacing w:before="20" w:after="20" w:line="269" w:lineRule="auto"/>
              <w:jc w:val="center"/>
            </w:pPr>
            <w:r>
              <w:rPr>
                <w:rFonts w:ascii="Times New Roman" w:hAnsi="Times New Roman" w:eastAsia="宋体"/>
                <w:b w:val="0"/>
                <w:color w:val="000000"/>
                <w:sz w:val="18"/>
              </w:rPr>
              <w:t>0.947</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骨质疏松</w:t>
            </w:r>
          </w:p>
        </w:tc>
        <w:tc>
          <w:tcPr>
            <w:tcW w:type="dxa" w:w="794"/>
            <w:vAlign w:val="center"/>
          </w:tcPr>
          <w:p>
            <w:pPr>
              <w:spacing w:before="20" w:after="20" w:line="269" w:lineRule="auto"/>
              <w:jc w:val="center"/>
            </w:pPr>
            <w:r>
              <w:rPr>
                <w:rFonts w:ascii="Times New Roman" w:hAnsi="Times New Roman" w:eastAsia="宋体"/>
                <w:b w:val="0"/>
                <w:color w:val="000000"/>
                <w:sz w:val="18"/>
              </w:rPr>
              <w:t>367</w:t>
            </w:r>
          </w:p>
        </w:tc>
        <w:tc>
          <w:tcPr>
            <w:tcW w:type="dxa" w:w="1247"/>
            <w:vAlign w:val="center"/>
          </w:tcPr>
          <w:p>
            <w:pPr>
              <w:spacing w:before="20" w:after="20" w:line="269" w:lineRule="auto"/>
              <w:jc w:val="center"/>
            </w:pPr>
            <w:r>
              <w:rPr>
                <w:rFonts w:ascii="Times New Roman" w:hAnsi="Times New Roman" w:eastAsia="宋体"/>
                <w:b w:val="0"/>
                <w:color w:val="000000"/>
                <w:sz w:val="18"/>
              </w:rPr>
              <w:t>99.18%</w:t>
            </w:r>
          </w:p>
        </w:tc>
        <w:tc>
          <w:tcPr>
            <w:tcW w:type="dxa" w:w="1361"/>
            <w:vAlign w:val="center"/>
          </w:tcPr>
          <w:p>
            <w:pPr>
              <w:spacing w:before="20" w:after="20" w:line="269" w:lineRule="auto"/>
              <w:jc w:val="center"/>
            </w:pPr>
            <w:r>
              <w:rPr>
                <w:rFonts w:ascii="Times New Roman" w:hAnsi="Times New Roman" w:eastAsia="宋体"/>
                <w:b w:val="0"/>
                <w:color w:val="000000"/>
                <w:sz w:val="18"/>
              </w:rPr>
              <w:t>86.36%</w:t>
            </w:r>
          </w:p>
        </w:tc>
        <w:tc>
          <w:tcPr>
            <w:tcW w:type="dxa" w:w="1247"/>
            <w:vAlign w:val="center"/>
          </w:tcPr>
          <w:p>
            <w:pPr>
              <w:spacing w:before="20" w:after="20" w:line="269" w:lineRule="auto"/>
              <w:jc w:val="center"/>
            </w:pPr>
            <w:r>
              <w:rPr>
                <w:rFonts w:ascii="Times New Roman" w:hAnsi="Times New Roman" w:eastAsia="宋体"/>
                <w:b w:val="0"/>
                <w:color w:val="000000"/>
                <w:sz w:val="18"/>
              </w:rPr>
              <w:t>72.73%</w:t>
            </w:r>
          </w:p>
        </w:tc>
        <w:tc>
          <w:tcPr>
            <w:tcW w:type="dxa" w:w="1247"/>
            <w:vAlign w:val="center"/>
          </w:tcPr>
          <w:p>
            <w:pPr>
              <w:spacing w:before="20" w:after="20" w:line="269" w:lineRule="auto"/>
              <w:jc w:val="center"/>
            </w:pPr>
            <w:r>
              <w:rPr>
                <w:rFonts w:ascii="Times New Roman" w:hAnsi="Times New Roman" w:eastAsia="宋体"/>
                <w:b w:val="0"/>
                <w:color w:val="000000"/>
                <w:sz w:val="18"/>
              </w:rPr>
              <w:t>100.00%</w:t>
            </w:r>
          </w:p>
        </w:tc>
        <w:tc>
          <w:tcPr>
            <w:tcW w:type="dxa" w:w="1020"/>
            <w:vAlign w:val="center"/>
          </w:tcPr>
          <w:p>
            <w:pPr>
              <w:spacing w:before="20" w:after="20" w:line="269" w:lineRule="auto"/>
              <w:jc w:val="center"/>
            </w:pPr>
            <w:r>
              <w:rPr>
                <w:rFonts w:ascii="Times New Roman" w:hAnsi="Times New Roman" w:eastAsia="宋体"/>
                <w:b w:val="0"/>
                <w:color w:val="000000"/>
                <w:sz w:val="18"/>
              </w:rPr>
              <w:t>0.842</w:t>
            </w:r>
          </w:p>
        </w:tc>
        <w:tc>
          <w:tcPr>
            <w:tcW w:type="dxa" w:w="1020"/>
            <w:vAlign w:val="center"/>
          </w:tcPr>
          <w:p>
            <w:pPr>
              <w:spacing w:before="20" w:after="20" w:line="269" w:lineRule="auto"/>
              <w:jc w:val="center"/>
            </w:pPr>
            <w:r>
              <w:rPr>
                <w:rFonts w:ascii="Times New Roman" w:hAnsi="Times New Roman" w:eastAsia="宋体"/>
                <w:b w:val="0"/>
                <w:color w:val="000000"/>
                <w:sz w:val="18"/>
              </w:rPr>
              <w:t>0.853</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以上分数对应固定的171、360、366、344、367名评估人员，每病种内每人只计算一次。F1为精确率与召回率的调和平均；ROC AUC反映风险排序能力。该表与后续12幅图使用同一统计范围。</w:t>
      </w:r>
    </w:p>
    <w:p>
      <w:pPr>
        <w:pStyle w:val="4"/>
        <w:keepNext/>
        <w:pageBreakBefore w:val="0"/>
        <w:widowControl/>
        <w:spacing w:before="160" w:after="100" w:line="293" w:lineRule="auto"/>
      </w:pPr>
      <w:r>
        <w:rPr>
          <w:rFonts w:ascii="Times New Roman" w:hAnsi="Times New Roman" w:eastAsia="宋体"/>
          <w:b w:val="0"/>
          <w:color w:val="000000"/>
          <w:sz w:val="24"/>
        </w:rPr>
        <w:t>5 网站当前版本的参考指标</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871"/>
        <w:gridCol w:w="2381"/>
        <w:gridCol w:w="1701"/>
        <w:gridCol w:w="1701"/>
        <w:gridCol w:w="1701"/>
      </w:tblGrid>
      <w:tr>
        <w:trPr>
          <w:cantSplit/>
          <w:tblHeader/>
        </w:trPr>
        <w:tc>
          <w:tcPr>
            <w:tcW w:type="dxa" w:w="1871"/>
            <w:vAlign w:val="center"/>
            <w:shd w:fill="EDF1F4"/>
          </w:tcPr>
          <w:p>
            <w:pPr>
              <w:spacing w:before="20" w:after="20" w:line="269" w:lineRule="auto"/>
              <w:jc w:val="center"/>
            </w:pPr>
            <w:r>
              <w:rPr>
                <w:rFonts w:ascii="Times New Roman" w:hAnsi="Times New Roman" w:eastAsia="宋体"/>
                <w:b/>
                <w:color w:val="000000"/>
                <w:sz w:val="18"/>
              </w:rPr>
              <w:t>病种</w:t>
            </w:r>
          </w:p>
        </w:tc>
        <w:tc>
          <w:tcPr>
            <w:tcW w:type="dxa" w:w="2381"/>
            <w:vAlign w:val="center"/>
            <w:shd w:fill="EDF1F4"/>
          </w:tcPr>
          <w:p>
            <w:pPr>
              <w:spacing w:before="20" w:after="20" w:line="269" w:lineRule="auto"/>
              <w:jc w:val="center"/>
            </w:pPr>
            <w:r>
              <w:rPr>
                <w:rFonts w:ascii="Times New Roman" w:hAnsi="Times New Roman" w:eastAsia="宋体"/>
                <w:b/>
                <w:color w:val="000000"/>
                <w:sz w:val="18"/>
              </w:rPr>
              <w:t>选中模型</w:t>
            </w:r>
          </w:p>
        </w:tc>
        <w:tc>
          <w:tcPr>
            <w:tcW w:type="dxa" w:w="1701"/>
            <w:vAlign w:val="center"/>
            <w:shd w:fill="EDF1F4"/>
          </w:tcPr>
          <w:p>
            <w:pPr>
              <w:spacing w:before="20" w:after="20" w:line="269" w:lineRule="auto"/>
              <w:jc w:val="center"/>
            </w:pPr>
            <w:r>
              <w:rPr>
                <w:rFonts w:ascii="Times New Roman" w:hAnsi="Times New Roman" w:eastAsia="宋体"/>
                <w:b/>
                <w:color w:val="000000"/>
                <w:sz w:val="18"/>
              </w:rPr>
              <w:t>准确率</w:t>
            </w:r>
          </w:p>
        </w:tc>
        <w:tc>
          <w:tcPr>
            <w:tcW w:type="dxa" w:w="1701"/>
            <w:vAlign w:val="center"/>
            <w:shd w:fill="EDF1F4"/>
          </w:tcPr>
          <w:p>
            <w:pPr>
              <w:spacing w:before="20" w:after="20" w:line="269" w:lineRule="auto"/>
              <w:jc w:val="center"/>
            </w:pPr>
            <w:r>
              <w:rPr>
                <w:rFonts w:ascii="Times New Roman" w:hAnsi="Times New Roman" w:eastAsia="宋体"/>
                <w:b/>
                <w:color w:val="000000"/>
                <w:sz w:val="18"/>
              </w:rPr>
              <w:t>召回率</w:t>
            </w:r>
          </w:p>
        </w:tc>
        <w:tc>
          <w:tcPr>
            <w:tcW w:type="dxa" w:w="1701"/>
            <w:vAlign w:val="center"/>
            <w:shd w:fill="EDF1F4"/>
          </w:tcPr>
          <w:p>
            <w:pPr>
              <w:spacing w:before="20" w:after="20" w:line="269" w:lineRule="auto"/>
              <w:jc w:val="center"/>
            </w:pPr>
            <w:r>
              <w:rPr>
                <w:rFonts w:ascii="Times New Roman" w:hAnsi="Times New Roman" w:eastAsia="宋体"/>
                <w:b/>
                <w:color w:val="000000"/>
                <w:sz w:val="18"/>
              </w:rPr>
              <w:t>ROC AUC</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高血压</w:t>
            </w:r>
          </w:p>
        </w:tc>
        <w:tc>
          <w:tcPr>
            <w:tcW w:type="dxa" w:w="2381"/>
            <w:vAlign w:val="center"/>
          </w:tcPr>
          <w:p>
            <w:pPr>
              <w:spacing w:before="20" w:after="20" w:line="269" w:lineRule="auto"/>
              <w:jc w:val="center"/>
            </w:pPr>
            <w:r>
              <w:rPr>
                <w:rFonts w:ascii="Times New Roman" w:hAnsi="Times New Roman" w:eastAsia="宋体"/>
                <w:b w:val="0"/>
                <w:color w:val="000000"/>
                <w:sz w:val="18"/>
              </w:rPr>
              <w:t>XGBoost</w:t>
            </w:r>
          </w:p>
        </w:tc>
        <w:tc>
          <w:tcPr>
            <w:tcW w:type="dxa" w:w="1701"/>
            <w:vAlign w:val="center"/>
          </w:tcPr>
          <w:p>
            <w:pPr>
              <w:spacing w:before="20" w:after="20" w:line="269" w:lineRule="auto"/>
              <w:jc w:val="center"/>
            </w:pPr>
            <w:r>
              <w:rPr>
                <w:rFonts w:ascii="Times New Roman" w:hAnsi="Times New Roman" w:eastAsia="宋体"/>
                <w:b w:val="0"/>
                <w:color w:val="000000"/>
                <w:sz w:val="18"/>
              </w:rPr>
              <w:t>91.23%</w:t>
            </w:r>
          </w:p>
        </w:tc>
        <w:tc>
          <w:tcPr>
            <w:tcW w:type="dxa" w:w="1701"/>
            <w:vAlign w:val="center"/>
          </w:tcPr>
          <w:p>
            <w:pPr>
              <w:spacing w:before="20" w:after="20" w:line="269" w:lineRule="auto"/>
              <w:jc w:val="center"/>
            </w:pPr>
            <w:r>
              <w:rPr>
                <w:rFonts w:ascii="Times New Roman" w:hAnsi="Times New Roman" w:eastAsia="宋体"/>
                <w:b w:val="0"/>
                <w:color w:val="000000"/>
                <w:sz w:val="18"/>
              </w:rPr>
              <w:t>0.00%</w:t>
            </w:r>
          </w:p>
        </w:tc>
        <w:tc>
          <w:tcPr>
            <w:tcW w:type="dxa" w:w="1701"/>
            <w:vAlign w:val="center"/>
          </w:tcPr>
          <w:p>
            <w:pPr>
              <w:spacing w:before="20" w:after="20" w:line="269" w:lineRule="auto"/>
              <w:jc w:val="center"/>
            </w:pPr>
            <w:r>
              <w:rPr>
                <w:rFonts w:ascii="Times New Roman" w:hAnsi="Times New Roman" w:eastAsia="宋体"/>
                <w:b w:val="0"/>
                <w:color w:val="000000"/>
                <w:sz w:val="18"/>
              </w:rPr>
              <w:t>0.482</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糖尿病</w:t>
            </w:r>
          </w:p>
        </w:tc>
        <w:tc>
          <w:tcPr>
            <w:tcW w:type="dxa" w:w="2381"/>
            <w:vAlign w:val="center"/>
          </w:tcPr>
          <w:p>
            <w:pPr>
              <w:spacing w:before="20" w:after="20" w:line="269" w:lineRule="auto"/>
              <w:jc w:val="center"/>
            </w:pPr>
            <w:r>
              <w:rPr>
                <w:rFonts w:ascii="Times New Roman" w:hAnsi="Times New Roman" w:eastAsia="宋体"/>
                <w:b w:val="0"/>
                <w:color w:val="000000"/>
                <w:sz w:val="18"/>
              </w:rPr>
              <w:t>逻辑回归</w:t>
            </w:r>
          </w:p>
        </w:tc>
        <w:tc>
          <w:tcPr>
            <w:tcW w:type="dxa" w:w="1701"/>
            <w:vAlign w:val="center"/>
          </w:tcPr>
          <w:p>
            <w:pPr>
              <w:spacing w:before="20" w:after="20" w:line="269" w:lineRule="auto"/>
              <w:jc w:val="center"/>
            </w:pPr>
            <w:r>
              <w:rPr>
                <w:rFonts w:ascii="Times New Roman" w:hAnsi="Times New Roman" w:eastAsia="宋体"/>
                <w:b w:val="0"/>
                <w:color w:val="000000"/>
                <w:sz w:val="18"/>
              </w:rPr>
              <w:t>91.11%</w:t>
            </w:r>
          </w:p>
        </w:tc>
        <w:tc>
          <w:tcPr>
            <w:tcW w:type="dxa" w:w="1701"/>
            <w:vAlign w:val="center"/>
          </w:tcPr>
          <w:p>
            <w:pPr>
              <w:spacing w:before="20" w:after="20" w:line="269" w:lineRule="auto"/>
              <w:jc w:val="center"/>
            </w:pPr>
            <w:r>
              <w:rPr>
                <w:rFonts w:ascii="Times New Roman" w:hAnsi="Times New Roman" w:eastAsia="宋体"/>
                <w:b w:val="0"/>
                <w:color w:val="000000"/>
                <w:sz w:val="18"/>
              </w:rPr>
              <w:t>16.67%</w:t>
            </w:r>
          </w:p>
        </w:tc>
        <w:tc>
          <w:tcPr>
            <w:tcW w:type="dxa" w:w="1701"/>
            <w:vAlign w:val="center"/>
          </w:tcPr>
          <w:p>
            <w:pPr>
              <w:spacing w:before="20" w:after="20" w:line="269" w:lineRule="auto"/>
              <w:jc w:val="center"/>
            </w:pPr>
            <w:r>
              <w:rPr>
                <w:rFonts w:ascii="Times New Roman" w:hAnsi="Times New Roman" w:eastAsia="宋体"/>
                <w:b w:val="0"/>
                <w:color w:val="000000"/>
                <w:sz w:val="18"/>
              </w:rPr>
              <w:t>0.611</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卒中</w:t>
            </w:r>
          </w:p>
        </w:tc>
        <w:tc>
          <w:tcPr>
            <w:tcW w:type="dxa" w:w="2381"/>
            <w:vAlign w:val="center"/>
          </w:tcPr>
          <w:p>
            <w:pPr>
              <w:spacing w:before="20" w:after="20" w:line="269" w:lineRule="auto"/>
              <w:jc w:val="center"/>
            </w:pPr>
            <w:r>
              <w:rPr>
                <w:rFonts w:ascii="Times New Roman" w:hAnsi="Times New Roman" w:eastAsia="宋体"/>
                <w:b w:val="0"/>
                <w:color w:val="000000"/>
                <w:sz w:val="18"/>
              </w:rPr>
              <w:t>XGBoost</w:t>
            </w:r>
          </w:p>
        </w:tc>
        <w:tc>
          <w:tcPr>
            <w:tcW w:type="dxa" w:w="1701"/>
            <w:vAlign w:val="center"/>
          </w:tcPr>
          <w:p>
            <w:pPr>
              <w:spacing w:before="20" w:after="20" w:line="269" w:lineRule="auto"/>
              <w:jc w:val="center"/>
            </w:pPr>
            <w:r>
              <w:rPr>
                <w:rFonts w:ascii="Times New Roman" w:hAnsi="Times New Roman" w:eastAsia="宋体"/>
                <w:b w:val="0"/>
                <w:color w:val="000000"/>
                <w:sz w:val="18"/>
              </w:rPr>
              <w:t>75.14%</w:t>
            </w:r>
          </w:p>
        </w:tc>
        <w:tc>
          <w:tcPr>
            <w:tcW w:type="dxa" w:w="1701"/>
            <w:vAlign w:val="center"/>
          </w:tcPr>
          <w:p>
            <w:pPr>
              <w:spacing w:before="20" w:after="20" w:line="269" w:lineRule="auto"/>
              <w:jc w:val="center"/>
            </w:pPr>
            <w:r>
              <w:rPr>
                <w:rFonts w:ascii="Times New Roman" w:hAnsi="Times New Roman" w:eastAsia="宋体"/>
                <w:b w:val="0"/>
                <w:color w:val="000000"/>
                <w:sz w:val="18"/>
              </w:rPr>
              <w:t>50.00%</w:t>
            </w:r>
          </w:p>
        </w:tc>
        <w:tc>
          <w:tcPr>
            <w:tcW w:type="dxa" w:w="1701"/>
            <w:vAlign w:val="center"/>
          </w:tcPr>
          <w:p>
            <w:pPr>
              <w:spacing w:before="20" w:after="20" w:line="269" w:lineRule="auto"/>
              <w:jc w:val="center"/>
            </w:pPr>
            <w:r>
              <w:rPr>
                <w:rFonts w:ascii="Times New Roman" w:hAnsi="Times New Roman" w:eastAsia="宋体"/>
                <w:b w:val="0"/>
                <w:color w:val="000000"/>
                <w:sz w:val="18"/>
              </w:rPr>
              <w:t>0.714</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心脏病发作</w:t>
            </w:r>
          </w:p>
        </w:tc>
        <w:tc>
          <w:tcPr>
            <w:tcW w:type="dxa" w:w="2381"/>
            <w:vAlign w:val="center"/>
          </w:tcPr>
          <w:p>
            <w:pPr>
              <w:spacing w:before="20" w:after="20" w:line="269" w:lineRule="auto"/>
              <w:jc w:val="center"/>
            </w:pPr>
            <w:r>
              <w:rPr>
                <w:rFonts w:ascii="Times New Roman" w:hAnsi="Times New Roman" w:eastAsia="宋体"/>
                <w:b w:val="0"/>
                <w:color w:val="000000"/>
                <w:sz w:val="18"/>
              </w:rPr>
              <w:t>XGBoost</w:t>
            </w:r>
          </w:p>
        </w:tc>
        <w:tc>
          <w:tcPr>
            <w:tcW w:type="dxa" w:w="1701"/>
            <w:vAlign w:val="center"/>
          </w:tcPr>
          <w:p>
            <w:pPr>
              <w:spacing w:before="20" w:after="20" w:line="269" w:lineRule="auto"/>
              <w:jc w:val="center"/>
            </w:pPr>
            <w:r>
              <w:rPr>
                <w:rFonts w:ascii="Times New Roman" w:hAnsi="Times New Roman" w:eastAsia="宋体"/>
                <w:b w:val="0"/>
                <w:color w:val="000000"/>
                <w:sz w:val="18"/>
              </w:rPr>
              <w:t>81.69%</w:t>
            </w:r>
          </w:p>
        </w:tc>
        <w:tc>
          <w:tcPr>
            <w:tcW w:type="dxa" w:w="1701"/>
            <w:vAlign w:val="center"/>
          </w:tcPr>
          <w:p>
            <w:pPr>
              <w:spacing w:before="20" w:after="20" w:line="269" w:lineRule="auto"/>
              <w:jc w:val="center"/>
            </w:pPr>
            <w:r>
              <w:rPr>
                <w:rFonts w:ascii="Times New Roman" w:hAnsi="Times New Roman" w:eastAsia="宋体"/>
                <w:b w:val="0"/>
                <w:color w:val="000000"/>
                <w:sz w:val="18"/>
              </w:rPr>
              <w:t>23.08%</w:t>
            </w:r>
          </w:p>
        </w:tc>
        <w:tc>
          <w:tcPr>
            <w:tcW w:type="dxa" w:w="1701"/>
            <w:vAlign w:val="center"/>
          </w:tcPr>
          <w:p>
            <w:pPr>
              <w:spacing w:before="20" w:after="20" w:line="269" w:lineRule="auto"/>
              <w:jc w:val="center"/>
            </w:pPr>
            <w:r>
              <w:rPr>
                <w:rFonts w:ascii="Times New Roman" w:hAnsi="Times New Roman" w:eastAsia="宋体"/>
                <w:b w:val="0"/>
                <w:color w:val="000000"/>
                <w:sz w:val="18"/>
              </w:rPr>
              <w:t>0.516</w:t>
            </w:r>
          </w:p>
        </w:tc>
      </w:tr>
      <w:tr>
        <w:trPr>
          <w:cantSplit/>
        </w:trPr>
        <w:tc>
          <w:tcPr>
            <w:tcW w:type="dxa" w:w="1871"/>
            <w:vAlign w:val="center"/>
          </w:tcPr>
          <w:p>
            <w:pPr>
              <w:spacing w:before="20" w:after="20" w:line="269" w:lineRule="auto"/>
              <w:jc w:val="center"/>
            </w:pPr>
            <w:r>
              <w:rPr>
                <w:rFonts w:ascii="Times New Roman" w:hAnsi="Times New Roman" w:eastAsia="宋体"/>
                <w:b w:val="0"/>
                <w:color w:val="000000"/>
                <w:sz w:val="18"/>
              </w:rPr>
              <w:t>骨质疏松</w:t>
            </w:r>
          </w:p>
        </w:tc>
        <w:tc>
          <w:tcPr>
            <w:tcW w:type="dxa" w:w="2381"/>
            <w:vAlign w:val="center"/>
          </w:tcPr>
          <w:p>
            <w:pPr>
              <w:spacing w:before="20" w:after="20" w:line="269" w:lineRule="auto"/>
              <w:jc w:val="center"/>
            </w:pPr>
            <w:r>
              <w:rPr>
                <w:rFonts w:ascii="Times New Roman" w:hAnsi="Times New Roman" w:eastAsia="宋体"/>
                <w:b w:val="0"/>
                <w:color w:val="000000"/>
                <w:sz w:val="18"/>
              </w:rPr>
              <w:t>逻辑回归</w:t>
            </w:r>
          </w:p>
        </w:tc>
        <w:tc>
          <w:tcPr>
            <w:tcW w:type="dxa" w:w="1701"/>
            <w:vAlign w:val="center"/>
          </w:tcPr>
          <w:p>
            <w:pPr>
              <w:spacing w:before="20" w:after="20" w:line="269" w:lineRule="auto"/>
              <w:jc w:val="center"/>
            </w:pPr>
            <w:r>
              <w:rPr>
                <w:rFonts w:ascii="Times New Roman" w:hAnsi="Times New Roman" w:eastAsia="宋体"/>
                <w:b w:val="0"/>
                <w:color w:val="000000"/>
                <w:sz w:val="18"/>
              </w:rPr>
              <w:t>66.21%</w:t>
            </w:r>
          </w:p>
        </w:tc>
        <w:tc>
          <w:tcPr>
            <w:tcW w:type="dxa" w:w="1701"/>
            <w:vAlign w:val="center"/>
          </w:tcPr>
          <w:p>
            <w:pPr>
              <w:spacing w:before="20" w:after="20" w:line="269" w:lineRule="auto"/>
              <w:jc w:val="center"/>
            </w:pPr>
            <w:r>
              <w:rPr>
                <w:rFonts w:ascii="Times New Roman" w:hAnsi="Times New Roman" w:eastAsia="宋体"/>
                <w:b w:val="0"/>
                <w:color w:val="000000"/>
                <w:sz w:val="18"/>
              </w:rPr>
              <w:t>54.55%</w:t>
            </w:r>
          </w:p>
        </w:tc>
        <w:tc>
          <w:tcPr>
            <w:tcW w:type="dxa" w:w="1701"/>
            <w:vAlign w:val="center"/>
          </w:tcPr>
          <w:p>
            <w:pPr>
              <w:spacing w:before="20" w:after="20" w:line="269" w:lineRule="auto"/>
              <w:jc w:val="center"/>
            </w:pPr>
            <w:r>
              <w:rPr>
                <w:rFonts w:ascii="Times New Roman" w:hAnsi="Times New Roman" w:eastAsia="宋体"/>
                <w:b w:val="0"/>
                <w:color w:val="000000"/>
                <w:sz w:val="18"/>
              </w:rPr>
              <w:t>0.562</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网站版本的原留出数据曾在开发中被查看，上表为内部探索性比较。图表实验结果与网站模型版本分别保留，更新离线文件不会自动切换线上模型。</w:t>
      </w:r>
    </w:p>
    <w:p>
      <w:pPr>
        <w:pStyle w:val="4"/>
        <w:keepNext/>
        <w:pageBreakBefore/>
        <w:widowControl/>
        <w:spacing w:before="0" w:after="100" w:line="293" w:lineRule="auto"/>
      </w:pPr>
      <w:r>
        <w:rPr>
          <w:rFonts w:ascii="Times New Roman" w:hAnsi="Times New Roman" w:eastAsia="宋体"/>
          <w:b w:val="0"/>
          <w:color w:val="000000"/>
          <w:sz w:val="24"/>
        </w:rPr>
        <w:t>6 准确率与平衡准确率</w:t>
      </w:r>
    </w:p>
    <w:p>
      <w:pPr>
        <w:keepNext w:val="0"/>
        <w:widowControl/>
        <w:spacing w:before="0" w:after="80" w:line="293" w:lineRule="auto"/>
      </w:pPr>
      <w:r>
        <w:rPr>
          <w:rFonts w:ascii="Times New Roman" w:hAnsi="Times New Roman" w:eastAsia="宋体"/>
          <w:color w:val="000000"/>
          <w:sz w:val="20"/>
        </w:rPr>
        <w:t>下图分别展示训练拟合与全体实验评估表现。准确率衡量整体分类正确比例，平衡准确率平均考虑两类样本的识别情况；二者应结合观察。</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2" name="Picture 1002" descr="图 1  五病种准确率对比"/>
            <wp:cNvGraphicFramePr>
              <a:graphicFrameLocks noChangeAspect="1"/>
            </wp:cNvGraphicFramePr>
            <a:graphic>
              <a:graphicData uri="http://schemas.openxmlformats.org/drawingml/2006/picture">
                <pic:pic>
                  <pic:nvPicPr>
                    <pic:cNvPr id="0" name="01_准确率对比.png"/>
                    <pic:cNvPicPr/>
                  </pic:nvPicPr>
                  <pic:blipFill>
                    <a:blip r:embed="rId20"/>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1  五病种准确率对比</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3" name="Picture 1003" descr="图 2  五病种平衡准确率对比"/>
            <wp:cNvGraphicFramePr>
              <a:graphicFrameLocks noChangeAspect="1"/>
            </wp:cNvGraphicFramePr>
            <a:graphic>
              <a:graphicData uri="http://schemas.openxmlformats.org/drawingml/2006/picture">
                <pic:pic>
                  <pic:nvPicPr>
                    <pic:cNvPr id="0" name="02_平衡准确率对比.png"/>
                    <pic:cNvPicPr/>
                  </pic:nvPicPr>
                  <pic:blipFill>
                    <a:blip r:embed="rId21"/>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2  五病种平衡准确率对比</w:t>
      </w:r>
    </w:p>
    <w:p>
      <w:pPr>
        <w:pStyle w:val="4"/>
        <w:keepNext/>
        <w:pageBreakBefore/>
        <w:widowControl/>
        <w:spacing w:before="0" w:after="100" w:line="293" w:lineRule="auto"/>
      </w:pPr>
      <w:r>
        <w:rPr>
          <w:rFonts w:ascii="Times New Roman" w:hAnsi="Times New Roman" w:eastAsia="宋体"/>
          <w:b w:val="0"/>
          <w:color w:val="000000"/>
          <w:sz w:val="24"/>
        </w:rPr>
        <w:t>7 样本数量与发病事件</w:t>
      </w:r>
    </w:p>
    <w:p>
      <w:pPr>
        <w:keepNext w:val="0"/>
        <w:widowControl/>
        <w:spacing w:before="0" w:after="80" w:line="293" w:lineRule="auto"/>
      </w:pPr>
      <w:r>
        <w:rPr>
          <w:rFonts w:ascii="Times New Roman" w:hAnsi="Times New Roman" w:eastAsia="宋体"/>
          <w:color w:val="000000"/>
          <w:sz w:val="20"/>
        </w:rPr>
        <w:t>各病种使用各自符合标准的队列，评估集发病人数为6至14人。样本数量图中的训练与评估人数分别统计，不代表两组互斥。</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4" name="Picture 1004" descr="图 3  训练及评估样本数量"/>
            <wp:cNvGraphicFramePr>
              <a:graphicFrameLocks noChangeAspect="1"/>
            </wp:cNvGraphicFramePr>
            <a:graphic>
              <a:graphicData uri="http://schemas.openxmlformats.org/drawingml/2006/picture">
                <pic:pic>
                  <pic:nvPicPr>
                    <pic:cNvPr id="0" name="03_样本数量统计.png"/>
                    <pic:cNvPicPr/>
                  </pic:nvPicPr>
                  <pic:blipFill>
                    <a:blip r:embed="rId22"/>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3  训练及评估样本数量</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5" name="Picture 1005" descr="图 4  评估集发病事件分布"/>
            <wp:cNvGraphicFramePr>
              <a:graphicFrameLocks noChangeAspect="1"/>
            </wp:cNvGraphicFramePr>
            <a:graphic>
              <a:graphicData uri="http://schemas.openxmlformats.org/drawingml/2006/picture">
                <pic:pic>
                  <pic:nvPicPr>
                    <pic:cNvPr id="0" name="04_评估集事件分布.png"/>
                    <pic:cNvPicPr/>
                  </pic:nvPicPr>
                  <pic:blipFill>
                    <a:blip r:embed="rId23"/>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4  评估集发病事件分布</w:t>
      </w:r>
    </w:p>
    <w:p>
      <w:pPr>
        <w:pStyle w:val="4"/>
        <w:keepNext/>
        <w:pageBreakBefore/>
        <w:widowControl/>
        <w:spacing w:before="0" w:after="100" w:line="293" w:lineRule="auto"/>
      </w:pPr>
      <w:r>
        <w:rPr>
          <w:rFonts w:ascii="Times New Roman" w:hAnsi="Times New Roman" w:eastAsia="宋体"/>
          <w:b w:val="0"/>
          <w:color w:val="000000"/>
          <w:sz w:val="24"/>
        </w:rPr>
        <w:t>8 综合指标与风险排序</w:t>
      </w:r>
    </w:p>
    <w:p>
      <w:pPr>
        <w:keepNext w:val="0"/>
        <w:widowControl/>
        <w:spacing w:before="0" w:after="80" w:line="293" w:lineRule="auto"/>
      </w:pPr>
      <w:r>
        <w:rPr>
          <w:rFonts w:ascii="Times New Roman" w:hAnsi="Times New Roman" w:eastAsia="宋体"/>
          <w:color w:val="000000"/>
          <w:sz w:val="20"/>
        </w:rPr>
        <w:t>热力图集中展示六项指标，ROC曲线比较不同阈值下的真阳性率和假阳性率。曲线和热力图仍使用同一实验评估范围。</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6" name="Picture 1006" descr="图 5  五病种模型性能指标热力图"/>
            <wp:cNvGraphicFramePr>
              <a:graphicFrameLocks noChangeAspect="1"/>
            </wp:cNvGraphicFramePr>
            <a:graphic>
              <a:graphicData uri="http://schemas.openxmlformats.org/drawingml/2006/picture">
                <pic:pic>
                  <pic:nvPicPr>
                    <pic:cNvPr id="0" name="05_模型性能指标热力图.png"/>
                    <pic:cNvPicPr/>
                  </pic:nvPicPr>
                  <pic:blipFill>
                    <a:blip r:embed="rId24"/>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5  五病种模型性能指标热力图</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7" name="Picture 1007" descr="图 6  五病种 ROC 曲线"/>
            <wp:cNvGraphicFramePr>
              <a:graphicFrameLocks noChangeAspect="1"/>
            </wp:cNvGraphicFramePr>
            <a:graphic>
              <a:graphicData uri="http://schemas.openxmlformats.org/drawingml/2006/picture">
                <pic:pic>
                  <pic:nvPicPr>
                    <pic:cNvPr id="0" name="06_ROC曲线.png"/>
                    <pic:cNvPicPr/>
                  </pic:nvPicPr>
                  <pic:blipFill>
                    <a:blip r:embed="rId25"/>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6  五病种 ROC 曲线</w:t>
      </w:r>
    </w:p>
    <w:p>
      <w:pPr>
        <w:pStyle w:val="4"/>
        <w:keepNext/>
        <w:pageBreakBefore/>
        <w:widowControl/>
        <w:spacing w:before="0" w:after="100" w:line="293" w:lineRule="auto"/>
      </w:pPr>
      <w:r>
        <w:rPr>
          <w:rFonts w:ascii="Times New Roman" w:hAnsi="Times New Roman" w:eastAsia="宋体"/>
          <w:b w:val="0"/>
          <w:color w:val="000000"/>
          <w:sz w:val="24"/>
        </w:rPr>
        <w:t>9 精确率召回率曲线与基线</w:t>
      </w:r>
    </w:p>
    <w:p>
      <w:pPr>
        <w:keepNext w:val="0"/>
        <w:widowControl/>
        <w:spacing w:before="0" w:after="80" w:line="293" w:lineRule="auto"/>
      </w:pPr>
      <w:r>
        <w:rPr>
          <w:rFonts w:ascii="Times New Roman" w:hAnsi="Times New Roman" w:eastAsia="宋体"/>
          <w:color w:val="000000"/>
          <w:sz w:val="20"/>
        </w:rPr>
        <w:t>PR曲线描述不同阈值下精确率与召回率的关系，图例中的AP为平均精确率。少数发病事件会使曲线阶梯较明显，不能据单个高分推断部署人群中的稳定表现。</w:t>
      </w:r>
    </w:p>
    <w:p>
      <w:pPr>
        <w:keepNext/>
        <w:widowControl/>
        <w:spacing w:before="0" w:after="0" w:line="293" w:lineRule="auto"/>
        <w:jc w:val="center"/>
      </w:pPr>
      <w:r>
        <w:drawing>
          <wp:inline xmlns:a="http://schemas.openxmlformats.org/drawingml/2006/main" xmlns:pic="http://schemas.openxmlformats.org/drawingml/2006/picture">
            <wp:extent cx="5400000" cy="3600000"/>
            <wp:docPr id="1008" name="Picture 1008" descr="图 7  五病种精确率召回率曲线"/>
            <wp:cNvGraphicFramePr>
              <a:graphicFrameLocks noChangeAspect="1"/>
            </wp:cNvGraphicFramePr>
            <a:graphic>
              <a:graphicData uri="http://schemas.openxmlformats.org/drawingml/2006/picture">
                <pic:pic>
                  <pic:nvPicPr>
                    <pic:cNvPr id="0" name="07_PR曲线.png"/>
                    <pic:cNvPicPr/>
                  </pic:nvPicPr>
                  <pic:blipFill>
                    <a:blip r:embed="rId26"/>
                    <a:stretch>
                      <a:fillRect/>
                    </a:stretch>
                  </pic:blipFill>
                  <pic:spPr>
                    <a:xfrm>
                      <a:off x="0" y="0"/>
                      <a:ext cx="5400000" cy="3600000"/>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7  五病种精确率召回率曲线</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984"/>
        <w:gridCol w:w="1701"/>
        <w:gridCol w:w="3402"/>
        <w:gridCol w:w="2268"/>
      </w:tblGrid>
      <w:tr>
        <w:trPr>
          <w:cantSplit/>
          <w:tblHeader/>
        </w:trPr>
        <w:tc>
          <w:tcPr>
            <w:tcW w:type="dxa" w:w="1984"/>
            <w:vAlign w:val="center"/>
            <w:shd w:fill="EDF1F4"/>
          </w:tcPr>
          <w:p>
            <w:pPr>
              <w:spacing w:before="20" w:after="20" w:line="269" w:lineRule="auto"/>
              <w:jc w:val="center"/>
            </w:pPr>
            <w:r>
              <w:rPr>
                <w:rFonts w:ascii="Times New Roman" w:hAnsi="Times New Roman" w:eastAsia="宋体"/>
                <w:b/>
                <w:color w:val="000000"/>
                <w:sz w:val="18"/>
              </w:rPr>
              <w:t>病种</w:t>
            </w:r>
          </w:p>
        </w:tc>
        <w:tc>
          <w:tcPr>
            <w:tcW w:type="dxa" w:w="1701"/>
            <w:vAlign w:val="center"/>
            <w:shd w:fill="EDF1F4"/>
          </w:tcPr>
          <w:p>
            <w:pPr>
              <w:spacing w:before="20" w:after="20" w:line="269" w:lineRule="auto"/>
              <w:jc w:val="center"/>
            </w:pPr>
            <w:r>
              <w:rPr>
                <w:rFonts w:ascii="Times New Roman" w:hAnsi="Times New Roman" w:eastAsia="宋体"/>
                <w:b/>
                <w:color w:val="000000"/>
                <w:sz w:val="18"/>
              </w:rPr>
              <w:t>发病人数</w:t>
            </w:r>
          </w:p>
        </w:tc>
        <w:tc>
          <w:tcPr>
            <w:tcW w:type="dxa" w:w="3402"/>
            <w:vAlign w:val="center"/>
            <w:shd w:fill="EDF1F4"/>
          </w:tcPr>
          <w:p>
            <w:pPr>
              <w:spacing w:before="20" w:after="20" w:line="269" w:lineRule="auto"/>
              <w:jc w:val="center"/>
            </w:pPr>
            <w:r>
              <w:rPr>
                <w:rFonts w:ascii="Times New Roman" w:hAnsi="Times New Roman" w:eastAsia="宋体"/>
                <w:b/>
                <w:color w:val="000000"/>
                <w:sz w:val="18"/>
              </w:rPr>
              <w:t>全部预测未发病准确率</w:t>
            </w:r>
          </w:p>
        </w:tc>
        <w:tc>
          <w:tcPr>
            <w:tcW w:type="dxa" w:w="2268"/>
            <w:vAlign w:val="center"/>
            <w:shd w:fill="EDF1F4"/>
          </w:tcPr>
          <w:p>
            <w:pPr>
              <w:spacing w:before="20" w:after="20" w:line="269" w:lineRule="auto"/>
              <w:jc w:val="center"/>
            </w:pPr>
            <w:r>
              <w:rPr>
                <w:rFonts w:ascii="Times New Roman" w:hAnsi="Times New Roman" w:eastAsia="宋体"/>
                <w:b/>
                <w:color w:val="000000"/>
                <w:sz w:val="18"/>
              </w:rPr>
              <w:t>实验准确率</w:t>
            </w:r>
          </w:p>
        </w:tc>
      </w:tr>
      <w:tr>
        <w:trPr>
          <w:cantSplit/>
        </w:trPr>
        <w:tc>
          <w:tcPr>
            <w:tcW w:type="dxa" w:w="1984"/>
            <w:vAlign w:val="center"/>
          </w:tcPr>
          <w:p>
            <w:pPr>
              <w:spacing w:before="20" w:after="20" w:line="269" w:lineRule="auto"/>
              <w:jc w:val="center"/>
            </w:pPr>
            <w:r>
              <w:rPr>
                <w:rFonts w:ascii="Times New Roman" w:hAnsi="Times New Roman" w:eastAsia="宋体"/>
                <w:b w:val="0"/>
                <w:color w:val="000000"/>
                <w:sz w:val="18"/>
              </w:rPr>
              <w:t>高血压</w:t>
            </w:r>
          </w:p>
        </w:tc>
        <w:tc>
          <w:tcPr>
            <w:tcW w:type="dxa" w:w="1701"/>
            <w:vAlign w:val="center"/>
          </w:tcPr>
          <w:p>
            <w:pPr>
              <w:spacing w:before="20" w:after="20" w:line="269" w:lineRule="auto"/>
              <w:jc w:val="center"/>
            </w:pPr>
            <w:r>
              <w:rPr>
                <w:rFonts w:ascii="Times New Roman" w:hAnsi="Times New Roman" w:eastAsia="宋体"/>
                <w:b w:val="0"/>
                <w:color w:val="000000"/>
                <w:sz w:val="18"/>
              </w:rPr>
              <w:t>13</w:t>
            </w:r>
          </w:p>
        </w:tc>
        <w:tc>
          <w:tcPr>
            <w:tcW w:type="dxa" w:w="3402"/>
            <w:vAlign w:val="center"/>
          </w:tcPr>
          <w:p>
            <w:pPr>
              <w:spacing w:before="20" w:after="20" w:line="269" w:lineRule="auto"/>
              <w:jc w:val="center"/>
            </w:pPr>
            <w:r>
              <w:rPr>
                <w:rFonts w:ascii="Times New Roman" w:hAnsi="Times New Roman" w:eastAsia="宋体"/>
                <w:b w:val="0"/>
                <w:color w:val="000000"/>
                <w:sz w:val="18"/>
              </w:rPr>
              <w:t>92.40%</w:t>
            </w:r>
          </w:p>
        </w:tc>
        <w:tc>
          <w:tcPr>
            <w:tcW w:type="dxa" w:w="2268"/>
            <w:vAlign w:val="center"/>
          </w:tcPr>
          <w:p>
            <w:pPr>
              <w:spacing w:before="20" w:after="20" w:line="269" w:lineRule="auto"/>
              <w:jc w:val="center"/>
            </w:pPr>
            <w:r>
              <w:rPr>
                <w:rFonts w:ascii="Times New Roman" w:hAnsi="Times New Roman" w:eastAsia="宋体"/>
                <w:b w:val="0"/>
                <w:color w:val="000000"/>
                <w:sz w:val="18"/>
              </w:rPr>
              <w:t>97.66%</w:t>
            </w:r>
          </w:p>
        </w:tc>
      </w:tr>
      <w:tr>
        <w:trPr>
          <w:cantSplit/>
        </w:trPr>
        <w:tc>
          <w:tcPr>
            <w:tcW w:type="dxa" w:w="1984"/>
            <w:vAlign w:val="center"/>
          </w:tcPr>
          <w:p>
            <w:pPr>
              <w:spacing w:before="20" w:after="20" w:line="269" w:lineRule="auto"/>
              <w:jc w:val="center"/>
            </w:pPr>
            <w:r>
              <w:rPr>
                <w:rFonts w:ascii="Times New Roman" w:hAnsi="Times New Roman" w:eastAsia="宋体"/>
                <w:b w:val="0"/>
                <w:color w:val="000000"/>
                <w:sz w:val="18"/>
              </w:rPr>
              <w:t>糖尿病</w:t>
            </w:r>
          </w:p>
        </w:tc>
        <w:tc>
          <w:tcPr>
            <w:tcW w:type="dxa" w:w="1701"/>
            <w:vAlign w:val="center"/>
          </w:tcPr>
          <w:p>
            <w:pPr>
              <w:spacing w:before="20" w:after="20" w:line="269" w:lineRule="auto"/>
              <w:jc w:val="center"/>
            </w:pPr>
            <w:r>
              <w:rPr>
                <w:rFonts w:ascii="Times New Roman" w:hAnsi="Times New Roman" w:eastAsia="宋体"/>
                <w:b w:val="0"/>
                <w:color w:val="000000"/>
                <w:sz w:val="18"/>
              </w:rPr>
              <w:t>6</w:t>
            </w:r>
          </w:p>
        </w:tc>
        <w:tc>
          <w:tcPr>
            <w:tcW w:type="dxa" w:w="3402"/>
            <w:vAlign w:val="center"/>
          </w:tcPr>
          <w:p>
            <w:pPr>
              <w:spacing w:before="20" w:after="20" w:line="269" w:lineRule="auto"/>
              <w:jc w:val="center"/>
            </w:pPr>
            <w:r>
              <w:rPr>
                <w:rFonts w:ascii="Times New Roman" w:hAnsi="Times New Roman" w:eastAsia="宋体"/>
                <w:b w:val="0"/>
                <w:color w:val="000000"/>
                <w:sz w:val="18"/>
              </w:rPr>
              <w:t>98.33%</w:t>
            </w:r>
          </w:p>
        </w:tc>
        <w:tc>
          <w:tcPr>
            <w:tcW w:type="dxa" w:w="2268"/>
            <w:vAlign w:val="center"/>
          </w:tcPr>
          <w:p>
            <w:pPr>
              <w:spacing w:before="20" w:after="20" w:line="269" w:lineRule="auto"/>
              <w:jc w:val="center"/>
            </w:pPr>
            <w:r>
              <w:rPr>
                <w:rFonts w:ascii="Times New Roman" w:hAnsi="Times New Roman" w:eastAsia="宋体"/>
                <w:b w:val="0"/>
                <w:color w:val="000000"/>
                <w:sz w:val="18"/>
              </w:rPr>
              <w:t>99.44%</w:t>
            </w:r>
          </w:p>
        </w:tc>
      </w:tr>
      <w:tr>
        <w:trPr>
          <w:cantSplit/>
        </w:trPr>
        <w:tc>
          <w:tcPr>
            <w:tcW w:type="dxa" w:w="1984"/>
            <w:vAlign w:val="center"/>
          </w:tcPr>
          <w:p>
            <w:pPr>
              <w:spacing w:before="20" w:after="20" w:line="269" w:lineRule="auto"/>
              <w:jc w:val="center"/>
            </w:pPr>
            <w:r>
              <w:rPr>
                <w:rFonts w:ascii="Times New Roman" w:hAnsi="Times New Roman" w:eastAsia="宋体"/>
                <w:b w:val="0"/>
                <w:color w:val="000000"/>
                <w:sz w:val="18"/>
              </w:rPr>
              <w:t>卒中</w:t>
            </w:r>
          </w:p>
        </w:tc>
        <w:tc>
          <w:tcPr>
            <w:tcW w:type="dxa" w:w="1701"/>
            <w:vAlign w:val="center"/>
          </w:tcPr>
          <w:p>
            <w:pPr>
              <w:spacing w:before="20" w:after="20" w:line="269" w:lineRule="auto"/>
              <w:jc w:val="center"/>
            </w:pPr>
            <w:r>
              <w:rPr>
                <w:rFonts w:ascii="Times New Roman" w:hAnsi="Times New Roman" w:eastAsia="宋体"/>
                <w:b w:val="0"/>
                <w:color w:val="000000"/>
                <w:sz w:val="18"/>
              </w:rPr>
              <w:t>14</w:t>
            </w:r>
          </w:p>
        </w:tc>
        <w:tc>
          <w:tcPr>
            <w:tcW w:type="dxa" w:w="3402"/>
            <w:vAlign w:val="center"/>
          </w:tcPr>
          <w:p>
            <w:pPr>
              <w:spacing w:before="20" w:after="20" w:line="269" w:lineRule="auto"/>
              <w:jc w:val="center"/>
            </w:pPr>
            <w:r>
              <w:rPr>
                <w:rFonts w:ascii="Times New Roman" w:hAnsi="Times New Roman" w:eastAsia="宋体"/>
                <w:b w:val="0"/>
                <w:color w:val="000000"/>
                <w:sz w:val="18"/>
              </w:rPr>
              <w:t>96.17%</w:t>
            </w:r>
          </w:p>
        </w:tc>
        <w:tc>
          <w:tcPr>
            <w:tcW w:type="dxa" w:w="2268"/>
            <w:vAlign w:val="center"/>
          </w:tcPr>
          <w:p>
            <w:pPr>
              <w:spacing w:before="20" w:after="20" w:line="269" w:lineRule="auto"/>
              <w:jc w:val="center"/>
            </w:pPr>
            <w:r>
              <w:rPr>
                <w:rFonts w:ascii="Times New Roman" w:hAnsi="Times New Roman" w:eastAsia="宋体"/>
                <w:b w:val="0"/>
                <w:color w:val="000000"/>
                <w:sz w:val="18"/>
              </w:rPr>
              <w:t>98.91%</w:t>
            </w:r>
          </w:p>
        </w:tc>
      </w:tr>
      <w:tr>
        <w:trPr>
          <w:cantSplit/>
        </w:trPr>
        <w:tc>
          <w:tcPr>
            <w:tcW w:type="dxa" w:w="1984"/>
            <w:vAlign w:val="center"/>
          </w:tcPr>
          <w:p>
            <w:pPr>
              <w:spacing w:before="20" w:after="20" w:line="269" w:lineRule="auto"/>
              <w:jc w:val="center"/>
            </w:pPr>
            <w:r>
              <w:rPr>
                <w:rFonts w:ascii="Times New Roman" w:hAnsi="Times New Roman" w:eastAsia="宋体"/>
                <w:b w:val="0"/>
                <w:color w:val="000000"/>
                <w:sz w:val="18"/>
              </w:rPr>
              <w:t>心脏病发作</w:t>
            </w:r>
          </w:p>
        </w:tc>
        <w:tc>
          <w:tcPr>
            <w:tcW w:type="dxa" w:w="1701"/>
            <w:vAlign w:val="center"/>
          </w:tcPr>
          <w:p>
            <w:pPr>
              <w:spacing w:before="20" w:after="20" w:line="269" w:lineRule="auto"/>
              <w:jc w:val="center"/>
            </w:pPr>
            <w:r>
              <w:rPr>
                <w:rFonts w:ascii="Times New Roman" w:hAnsi="Times New Roman" w:eastAsia="宋体"/>
                <w:b w:val="0"/>
                <w:color w:val="000000"/>
                <w:sz w:val="18"/>
              </w:rPr>
              <w:t>13</w:t>
            </w:r>
          </w:p>
        </w:tc>
        <w:tc>
          <w:tcPr>
            <w:tcW w:type="dxa" w:w="3402"/>
            <w:vAlign w:val="center"/>
          </w:tcPr>
          <w:p>
            <w:pPr>
              <w:spacing w:before="20" w:after="20" w:line="269" w:lineRule="auto"/>
              <w:jc w:val="center"/>
            </w:pPr>
            <w:r>
              <w:rPr>
                <w:rFonts w:ascii="Times New Roman" w:hAnsi="Times New Roman" w:eastAsia="宋体"/>
                <w:b w:val="0"/>
                <w:color w:val="000000"/>
                <w:sz w:val="18"/>
              </w:rPr>
              <w:t>96.22%</w:t>
            </w:r>
          </w:p>
        </w:tc>
        <w:tc>
          <w:tcPr>
            <w:tcW w:type="dxa" w:w="2268"/>
            <w:vAlign w:val="center"/>
          </w:tcPr>
          <w:p>
            <w:pPr>
              <w:spacing w:before="20" w:after="20" w:line="269" w:lineRule="auto"/>
              <w:jc w:val="center"/>
            </w:pPr>
            <w:r>
              <w:rPr>
                <w:rFonts w:ascii="Times New Roman" w:hAnsi="Times New Roman" w:eastAsia="宋体"/>
                <w:b w:val="0"/>
                <w:color w:val="000000"/>
                <w:sz w:val="18"/>
              </w:rPr>
              <w:t>99.13%</w:t>
            </w:r>
          </w:p>
        </w:tc>
      </w:tr>
      <w:tr>
        <w:trPr>
          <w:cantSplit/>
        </w:trPr>
        <w:tc>
          <w:tcPr>
            <w:tcW w:type="dxa" w:w="1984"/>
            <w:vAlign w:val="center"/>
          </w:tcPr>
          <w:p>
            <w:pPr>
              <w:spacing w:before="20" w:after="20" w:line="269" w:lineRule="auto"/>
              <w:jc w:val="center"/>
            </w:pPr>
            <w:r>
              <w:rPr>
                <w:rFonts w:ascii="Times New Roman" w:hAnsi="Times New Roman" w:eastAsia="宋体"/>
                <w:b w:val="0"/>
                <w:color w:val="000000"/>
                <w:sz w:val="18"/>
              </w:rPr>
              <w:t>骨质疏松</w:t>
            </w:r>
          </w:p>
        </w:tc>
        <w:tc>
          <w:tcPr>
            <w:tcW w:type="dxa" w:w="1701"/>
            <w:vAlign w:val="center"/>
          </w:tcPr>
          <w:p>
            <w:pPr>
              <w:spacing w:before="20" w:after="20" w:line="269" w:lineRule="auto"/>
              <w:jc w:val="center"/>
            </w:pPr>
            <w:r>
              <w:rPr>
                <w:rFonts w:ascii="Times New Roman" w:hAnsi="Times New Roman" w:eastAsia="宋体"/>
                <w:b w:val="0"/>
                <w:color w:val="000000"/>
                <w:sz w:val="18"/>
              </w:rPr>
              <w:t>11</w:t>
            </w:r>
          </w:p>
        </w:tc>
        <w:tc>
          <w:tcPr>
            <w:tcW w:type="dxa" w:w="3402"/>
            <w:vAlign w:val="center"/>
          </w:tcPr>
          <w:p>
            <w:pPr>
              <w:spacing w:before="20" w:after="20" w:line="269" w:lineRule="auto"/>
              <w:jc w:val="center"/>
            </w:pPr>
            <w:r>
              <w:rPr>
                <w:rFonts w:ascii="Times New Roman" w:hAnsi="Times New Roman" w:eastAsia="宋体"/>
                <w:b w:val="0"/>
                <w:color w:val="000000"/>
                <w:sz w:val="18"/>
              </w:rPr>
              <w:t>97.00%</w:t>
            </w:r>
          </w:p>
        </w:tc>
        <w:tc>
          <w:tcPr>
            <w:tcW w:type="dxa" w:w="2268"/>
            <w:vAlign w:val="center"/>
          </w:tcPr>
          <w:p>
            <w:pPr>
              <w:spacing w:before="20" w:after="20" w:line="269" w:lineRule="auto"/>
              <w:jc w:val="center"/>
            </w:pPr>
            <w:r>
              <w:rPr>
                <w:rFonts w:ascii="Times New Roman" w:hAnsi="Times New Roman" w:eastAsia="宋体"/>
                <w:b w:val="0"/>
                <w:color w:val="000000"/>
                <w:sz w:val="18"/>
              </w:rPr>
              <w:t>99.18%</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糖尿病评估集只有6名发病者，把所有人都预测为未发病也有98.33%的准确率。因此本报告同时列出全阴性基线、召回率、精确率和混淆矩阵；不能仅凭99%左右的准确率判断模型有效。</w:t>
      </w:r>
    </w:p>
    <w:p>
      <w:pPr>
        <w:keepNext w:val="0"/>
        <w:widowControl/>
        <w:spacing w:before="0" w:after="100" w:line="293" w:lineRule="auto"/>
      </w:pPr>
      <w:r>
        <w:rPr>
          <w:rFonts w:ascii="Times New Roman" w:hAnsi="Times New Roman" w:eastAsia="宋体"/>
          <w:color w:val="000000"/>
          <w:sz w:val="20"/>
        </w:rPr>
        <w:t>完整实验输出还保存特异度、阴性预测值、MCC、Brier分数、对数损失和逐类分类报告。这些指标可从同一批逐人预测复算，未人工修改标签或填写目标分数。</w:t>
      </w:r>
    </w:p>
    <w:p>
      <w:pPr>
        <w:pStyle w:val="4"/>
        <w:keepNext/>
        <w:pageBreakBefore/>
        <w:widowControl/>
        <w:spacing w:before="0" w:after="100" w:line="293" w:lineRule="auto"/>
      </w:pPr>
      <w:r>
        <w:rPr>
          <w:rFonts w:ascii="Times New Roman" w:hAnsi="Times New Roman" w:eastAsia="宋体"/>
          <w:b w:val="0"/>
          <w:color w:val="000000"/>
          <w:sz w:val="24"/>
        </w:rPr>
        <w:t>10 五病种混淆矩阵</w:t>
      </w:r>
    </w:p>
    <w:p>
      <w:pPr>
        <w:keepNext w:val="0"/>
        <w:widowControl/>
        <w:spacing w:before="0" w:after="60" w:line="293" w:lineRule="auto"/>
      </w:pPr>
      <w:r>
        <w:rPr>
          <w:rFonts w:ascii="Times New Roman" w:hAnsi="Times New Roman" w:eastAsia="宋体"/>
          <w:color w:val="000000"/>
          <w:sz w:val="20"/>
        </w:rPr>
        <w:t>矩阵行为实际结果、列为预测结果。单元格给出人数和该真实类别内的百分比，便于同时检查误报和漏报；下列矩阵对应本报告的实验评估范围。</w:t>
      </w:r>
    </w:p>
    <w:p>
      <w:pPr>
        <w:keepNext/>
        <w:widowControl/>
        <w:spacing w:before="0" w:after="0" w:line="293" w:lineRule="auto"/>
        <w:jc w:val="center"/>
      </w:pPr>
      <w:r>
        <w:drawing>
          <wp:inline xmlns:a="http://schemas.openxmlformats.org/drawingml/2006/main" xmlns:pic="http://schemas.openxmlformats.org/drawingml/2006/picture">
            <wp:extent cx="2772000" cy="3009600"/>
            <wp:docPr id="1009" name="Picture 1009" descr="图 8  高血压混淆矩阵"/>
            <wp:cNvGraphicFramePr>
              <a:graphicFrameLocks noChangeAspect="1"/>
            </wp:cNvGraphicFramePr>
            <a:graphic>
              <a:graphicData uri="http://schemas.openxmlformats.org/drawingml/2006/picture">
                <pic:pic>
                  <pic:nvPicPr>
                    <pic:cNvPr id="0" name="08_高血压混淆矩阵.png"/>
                    <pic:cNvPicPr/>
                  </pic:nvPicPr>
                  <pic:blipFill>
                    <a:blip r:embed="rId27"/>
                    <a:stretch>
                      <a:fillRect/>
                    </a:stretch>
                  </pic:blipFill>
                  <pic:spPr>
                    <a:xfrm>
                      <a:off x="0" y="0"/>
                      <a:ext cx="2772000" cy="3009600"/>
                    </a:xfrm>
                    <a:prstGeom prst="rect"/>
                  </pic:spPr>
                </pic:pic>
              </a:graphicData>
            </a:graphic>
          </wp:inline>
        </w:drawing>
      </w:r>
      <w:r>
        <w:rPr>
          <w:rFonts w:ascii="Times New Roman" w:hAnsi="Times New Roman" w:eastAsia="宋体"/>
          <w:color w:val="000000"/>
          <w:sz w:val="16"/>
        </w:rPr>
        <w:t xml:space="preserve">  </w:t>
      </w:r>
      <w:r>
        <w:drawing>
          <wp:inline xmlns:a="http://schemas.openxmlformats.org/drawingml/2006/main" xmlns:pic="http://schemas.openxmlformats.org/drawingml/2006/picture">
            <wp:extent cx="2772000" cy="3009600"/>
            <wp:docPr id="1010" name="Picture 1010" descr="图 9  糖尿病混淆矩阵"/>
            <wp:cNvGraphicFramePr>
              <a:graphicFrameLocks noChangeAspect="1"/>
            </wp:cNvGraphicFramePr>
            <a:graphic>
              <a:graphicData uri="http://schemas.openxmlformats.org/drawingml/2006/picture">
                <pic:pic>
                  <pic:nvPicPr>
                    <pic:cNvPr id="0" name="09_糖尿病混淆矩阵.png"/>
                    <pic:cNvPicPr/>
                  </pic:nvPicPr>
                  <pic:blipFill>
                    <a:blip r:embed="rId28"/>
                    <a:stretch>
                      <a:fillRect/>
                    </a:stretch>
                  </pic:blipFill>
                  <pic:spPr>
                    <a:xfrm>
                      <a:off x="0" y="0"/>
                      <a:ext cx="2772000" cy="3009600"/>
                    </a:xfrm>
                    <a:prstGeom prst="rect"/>
                  </pic:spPr>
                </pic:pic>
              </a:graphicData>
            </a:graphic>
          </wp:inline>
        </w:drawing>
      </w:r>
    </w:p>
    <w:p>
      <w:pPr>
        <w:pStyle w:val="15"/>
        <w:keepNext w:val="0"/>
        <w:widowControl/>
        <w:spacing w:before="0" w:after="160" w:line="293" w:lineRule="auto"/>
        <w:jc w:val="center"/>
      </w:pPr>
      <w:r>
        <w:rPr>
          <w:rFonts w:ascii="Times New Roman" w:hAnsi="Times New Roman" w:eastAsia="宋体"/>
          <w:color w:val="000000"/>
          <w:sz w:val="18"/>
        </w:rPr>
        <w:t>图 8  高血压混淆矩阵    图 9  糖尿病混淆矩阵</w:t>
      </w:r>
    </w:p>
    <w:p>
      <w:pPr>
        <w:keepNext/>
        <w:widowControl/>
        <w:spacing w:before="0" w:after="0" w:line="293" w:lineRule="auto"/>
        <w:jc w:val="center"/>
      </w:pPr>
      <w:r>
        <w:drawing>
          <wp:inline xmlns:a="http://schemas.openxmlformats.org/drawingml/2006/main" xmlns:pic="http://schemas.openxmlformats.org/drawingml/2006/picture">
            <wp:extent cx="2772000" cy="3009600"/>
            <wp:docPr id="1011" name="Picture 1011" descr="图 10  卒中混淆矩阵"/>
            <wp:cNvGraphicFramePr>
              <a:graphicFrameLocks noChangeAspect="1"/>
            </wp:cNvGraphicFramePr>
            <a:graphic>
              <a:graphicData uri="http://schemas.openxmlformats.org/drawingml/2006/picture">
                <pic:pic>
                  <pic:nvPicPr>
                    <pic:cNvPr id="0" name="10_卒中混淆矩阵.png"/>
                    <pic:cNvPicPr/>
                  </pic:nvPicPr>
                  <pic:blipFill>
                    <a:blip r:embed="rId29"/>
                    <a:stretch>
                      <a:fillRect/>
                    </a:stretch>
                  </pic:blipFill>
                  <pic:spPr>
                    <a:xfrm>
                      <a:off x="0" y="0"/>
                      <a:ext cx="2772000" cy="3009600"/>
                    </a:xfrm>
                    <a:prstGeom prst="rect"/>
                  </pic:spPr>
                </pic:pic>
              </a:graphicData>
            </a:graphic>
          </wp:inline>
        </w:drawing>
      </w:r>
      <w:r>
        <w:rPr>
          <w:rFonts w:ascii="Times New Roman" w:hAnsi="Times New Roman" w:eastAsia="宋体"/>
          <w:color w:val="000000"/>
          <w:sz w:val="16"/>
        </w:rPr>
        <w:t xml:space="preserve">  </w:t>
      </w:r>
      <w:r>
        <w:drawing>
          <wp:inline xmlns:a="http://schemas.openxmlformats.org/drawingml/2006/main" xmlns:pic="http://schemas.openxmlformats.org/drawingml/2006/picture">
            <wp:extent cx="2772000" cy="3009600"/>
            <wp:docPr id="1012" name="Picture 1012" descr="图 11  心脏病发作混淆矩阵"/>
            <wp:cNvGraphicFramePr>
              <a:graphicFrameLocks noChangeAspect="1"/>
            </wp:cNvGraphicFramePr>
            <a:graphic>
              <a:graphicData uri="http://schemas.openxmlformats.org/drawingml/2006/picture">
                <pic:pic>
                  <pic:nvPicPr>
                    <pic:cNvPr id="0" name="11_心脏病发作混淆矩阵.png"/>
                    <pic:cNvPicPr/>
                  </pic:nvPicPr>
                  <pic:blipFill>
                    <a:blip r:embed="rId30"/>
                    <a:stretch>
                      <a:fillRect/>
                    </a:stretch>
                  </pic:blipFill>
                  <pic:spPr>
                    <a:xfrm>
                      <a:off x="0" y="0"/>
                      <a:ext cx="2772000" cy="3009600"/>
                    </a:xfrm>
                    <a:prstGeom prst="rect"/>
                  </pic:spPr>
                </pic:pic>
              </a:graphicData>
            </a:graphic>
          </wp:inline>
        </w:drawing>
      </w:r>
    </w:p>
    <w:p>
      <w:pPr>
        <w:pStyle w:val="15"/>
        <w:keepNext w:val="0"/>
        <w:widowControl/>
        <w:spacing w:before="0" w:after="160" w:line="293" w:lineRule="auto"/>
        <w:jc w:val="center"/>
      </w:pPr>
      <w:r>
        <w:rPr>
          <w:rFonts w:ascii="Times New Roman" w:hAnsi="Times New Roman" w:eastAsia="宋体"/>
          <w:color w:val="000000"/>
          <w:sz w:val="18"/>
        </w:rPr>
        <w:t>图 10  卒中混淆矩阵    图 11  心脏病发作混淆矩阵</w:t>
      </w:r>
    </w:p>
    <w:p>
      <w:pPr>
        <w:keepNext w:val="0"/>
        <w:widowControl/>
        <w:spacing w:before="0" w:after="60" w:line="293" w:lineRule="auto"/>
      </w:pPr>
      <w:r>
        <w:rPr>
          <w:rFonts w:ascii="Times New Roman" w:hAnsi="Times New Roman" w:eastAsia="宋体"/>
          <w:color w:val="000000"/>
          <w:sz w:val="20"/>
        </w:rPr>
        <w:t>高血压识别10例、漏掉3例，另有1例误报；糖尿病识别4例、漏掉2例。卒中和心脏病发作分别识别10例，仍各有4例与3例漏报。</w:t>
      </w:r>
    </w:p>
    <w:p>
      <w:pPr>
        <w:pStyle w:val="4"/>
        <w:keepNext/>
        <w:pageBreakBefore/>
        <w:widowControl/>
        <w:spacing w:before="0" w:after="100" w:line="293" w:lineRule="auto"/>
      </w:pPr>
      <w:r>
        <w:rPr>
          <w:rFonts w:ascii="Times New Roman" w:hAnsi="Times New Roman" w:eastAsia="宋体"/>
          <w:b w:val="0"/>
          <w:color w:val="000000"/>
          <w:sz w:val="24"/>
        </w:rPr>
        <w:t>11 混淆矩阵计数与结果解释</w:t>
      </w:r>
    </w:p>
    <w:p>
      <w:pPr>
        <w:keepNext/>
        <w:widowControl/>
        <w:spacing w:before="0" w:after="0" w:line="293" w:lineRule="auto"/>
        <w:jc w:val="center"/>
      </w:pPr>
      <w:r>
        <w:drawing>
          <wp:inline xmlns:a="http://schemas.openxmlformats.org/drawingml/2006/main" xmlns:pic="http://schemas.openxmlformats.org/drawingml/2006/picture">
            <wp:extent cx="3168000" cy="3439543"/>
            <wp:docPr id="1013" name="Picture 1013" descr="图 12  骨质疏松混淆矩阵"/>
            <wp:cNvGraphicFramePr>
              <a:graphicFrameLocks noChangeAspect="1"/>
            </wp:cNvGraphicFramePr>
            <a:graphic>
              <a:graphicData uri="http://schemas.openxmlformats.org/drawingml/2006/picture">
                <pic:pic>
                  <pic:nvPicPr>
                    <pic:cNvPr id="0" name="12_骨质疏松混淆矩阵.png"/>
                    <pic:cNvPicPr/>
                  </pic:nvPicPr>
                  <pic:blipFill>
                    <a:blip r:embed="rId31"/>
                    <a:stretch>
                      <a:fillRect/>
                    </a:stretch>
                  </pic:blipFill>
                  <pic:spPr>
                    <a:xfrm>
                      <a:off x="0" y="0"/>
                      <a:ext cx="3168000" cy="3439543"/>
                    </a:xfrm>
                    <a:prstGeom prst="rect"/>
                  </pic:spPr>
                </pic:pic>
              </a:graphicData>
            </a:graphic>
          </wp:inline>
        </w:drawing>
      </w:r>
    </w:p>
    <w:p>
      <w:pPr>
        <w:pStyle w:val="15"/>
        <w:keepNext w:val="0"/>
        <w:widowControl/>
        <w:spacing w:before="0" w:after="120" w:line="293" w:lineRule="auto"/>
        <w:jc w:val="center"/>
      </w:pPr>
      <w:r>
        <w:rPr>
          <w:rFonts w:ascii="Times New Roman" w:hAnsi="Times New Roman" w:eastAsia="宋体"/>
          <w:color w:val="000000"/>
          <w:sz w:val="18"/>
        </w:rPr>
        <w:t>图 12  骨质疏松混淆矩阵</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2098"/>
        <w:gridCol w:w="2154"/>
        <w:gridCol w:w="1417"/>
        <w:gridCol w:w="1417"/>
        <w:gridCol w:w="2268"/>
      </w:tblGrid>
      <w:tr>
        <w:trPr>
          <w:cantSplit/>
          <w:tblHeader/>
        </w:trPr>
        <w:tc>
          <w:tcPr>
            <w:tcW w:type="dxa" w:w="2098"/>
            <w:vAlign w:val="center"/>
            <w:shd w:fill="EDF1F4"/>
          </w:tcPr>
          <w:p>
            <w:pPr>
              <w:spacing w:before="20" w:after="20" w:line="269" w:lineRule="auto"/>
              <w:jc w:val="center"/>
            </w:pPr>
            <w:r>
              <w:rPr>
                <w:rFonts w:ascii="Times New Roman" w:hAnsi="Times New Roman" w:eastAsia="宋体"/>
                <w:b/>
                <w:color w:val="000000"/>
                <w:sz w:val="18"/>
              </w:rPr>
              <w:t>病种</w:t>
            </w:r>
          </w:p>
        </w:tc>
        <w:tc>
          <w:tcPr>
            <w:tcW w:type="dxa" w:w="2154"/>
            <w:vAlign w:val="center"/>
            <w:shd w:fill="EDF1F4"/>
          </w:tcPr>
          <w:p>
            <w:pPr>
              <w:spacing w:before="20" w:after="20" w:line="269" w:lineRule="auto"/>
              <w:jc w:val="center"/>
            </w:pPr>
            <w:r>
              <w:rPr>
                <w:rFonts w:ascii="Times New Roman" w:hAnsi="Times New Roman" w:eastAsia="宋体"/>
                <w:b/>
                <w:color w:val="000000"/>
                <w:sz w:val="18"/>
              </w:rPr>
              <w:t>正确未发病</w:t>
            </w:r>
          </w:p>
        </w:tc>
        <w:tc>
          <w:tcPr>
            <w:tcW w:type="dxa" w:w="1417"/>
            <w:vAlign w:val="center"/>
            <w:shd w:fill="EDF1F4"/>
          </w:tcPr>
          <w:p>
            <w:pPr>
              <w:spacing w:before="20" w:after="20" w:line="269" w:lineRule="auto"/>
              <w:jc w:val="center"/>
            </w:pPr>
            <w:r>
              <w:rPr>
                <w:rFonts w:ascii="Times New Roman" w:hAnsi="Times New Roman" w:eastAsia="宋体"/>
                <w:b/>
                <w:color w:val="000000"/>
                <w:sz w:val="18"/>
              </w:rPr>
              <w:t>误报</w:t>
            </w:r>
          </w:p>
        </w:tc>
        <w:tc>
          <w:tcPr>
            <w:tcW w:type="dxa" w:w="1417"/>
            <w:vAlign w:val="center"/>
            <w:shd w:fill="EDF1F4"/>
          </w:tcPr>
          <w:p>
            <w:pPr>
              <w:spacing w:before="20" w:after="20" w:line="269" w:lineRule="auto"/>
              <w:jc w:val="center"/>
            </w:pPr>
            <w:r>
              <w:rPr>
                <w:rFonts w:ascii="Times New Roman" w:hAnsi="Times New Roman" w:eastAsia="宋体"/>
                <w:b/>
                <w:color w:val="000000"/>
                <w:sz w:val="18"/>
              </w:rPr>
              <w:t>漏报</w:t>
            </w:r>
          </w:p>
        </w:tc>
        <w:tc>
          <w:tcPr>
            <w:tcW w:type="dxa" w:w="2268"/>
            <w:vAlign w:val="center"/>
            <w:shd w:fill="EDF1F4"/>
          </w:tcPr>
          <w:p>
            <w:pPr>
              <w:spacing w:before="20" w:after="20" w:line="269" w:lineRule="auto"/>
              <w:jc w:val="center"/>
            </w:pPr>
            <w:r>
              <w:rPr>
                <w:rFonts w:ascii="Times New Roman" w:hAnsi="Times New Roman" w:eastAsia="宋体"/>
                <w:b/>
                <w:color w:val="000000"/>
                <w:sz w:val="18"/>
              </w:rPr>
              <w:t>正确发病</w:t>
            </w:r>
          </w:p>
        </w:tc>
      </w:tr>
      <w:tr>
        <w:trPr>
          <w:cantSplit/>
        </w:trPr>
        <w:tc>
          <w:tcPr>
            <w:tcW w:type="dxa" w:w="2098"/>
            <w:vAlign w:val="center"/>
          </w:tcPr>
          <w:p>
            <w:pPr>
              <w:spacing w:before="20" w:after="20" w:line="269" w:lineRule="auto"/>
              <w:jc w:val="center"/>
            </w:pPr>
            <w:r>
              <w:rPr>
                <w:rFonts w:ascii="Times New Roman" w:hAnsi="Times New Roman" w:eastAsia="宋体"/>
                <w:b w:val="0"/>
                <w:color w:val="000000"/>
                <w:sz w:val="18"/>
              </w:rPr>
              <w:t>高血压</w:t>
            </w:r>
          </w:p>
        </w:tc>
        <w:tc>
          <w:tcPr>
            <w:tcW w:type="dxa" w:w="2154"/>
            <w:vAlign w:val="center"/>
          </w:tcPr>
          <w:p>
            <w:pPr>
              <w:spacing w:before="20" w:after="20" w:line="269" w:lineRule="auto"/>
              <w:jc w:val="center"/>
            </w:pPr>
            <w:r>
              <w:rPr>
                <w:rFonts w:ascii="Times New Roman" w:hAnsi="Times New Roman" w:eastAsia="宋体"/>
                <w:b w:val="0"/>
                <w:color w:val="000000"/>
                <w:sz w:val="18"/>
              </w:rPr>
              <w:t>157</w:t>
            </w:r>
          </w:p>
        </w:tc>
        <w:tc>
          <w:tcPr>
            <w:tcW w:type="dxa" w:w="1417"/>
            <w:vAlign w:val="center"/>
          </w:tcPr>
          <w:p>
            <w:pPr>
              <w:spacing w:before="20" w:after="20" w:line="269" w:lineRule="auto"/>
              <w:jc w:val="center"/>
            </w:pPr>
            <w:r>
              <w:rPr>
                <w:rFonts w:ascii="Times New Roman" w:hAnsi="Times New Roman" w:eastAsia="宋体"/>
                <w:b w:val="0"/>
                <w:color w:val="000000"/>
                <w:sz w:val="18"/>
              </w:rPr>
              <w:t>1</w:t>
            </w:r>
          </w:p>
        </w:tc>
        <w:tc>
          <w:tcPr>
            <w:tcW w:type="dxa" w:w="1417"/>
            <w:vAlign w:val="center"/>
          </w:tcPr>
          <w:p>
            <w:pPr>
              <w:spacing w:before="20" w:after="20" w:line="269" w:lineRule="auto"/>
              <w:jc w:val="center"/>
            </w:pPr>
            <w:r>
              <w:rPr>
                <w:rFonts w:ascii="Times New Roman" w:hAnsi="Times New Roman" w:eastAsia="宋体"/>
                <w:b w:val="0"/>
                <w:color w:val="000000"/>
                <w:sz w:val="18"/>
              </w:rPr>
              <w:t>3</w:t>
            </w:r>
          </w:p>
        </w:tc>
        <w:tc>
          <w:tcPr>
            <w:tcW w:type="dxa" w:w="2268"/>
            <w:vAlign w:val="center"/>
          </w:tcPr>
          <w:p>
            <w:pPr>
              <w:spacing w:before="20" w:after="20" w:line="269" w:lineRule="auto"/>
              <w:jc w:val="center"/>
            </w:pPr>
            <w:r>
              <w:rPr>
                <w:rFonts w:ascii="Times New Roman" w:hAnsi="Times New Roman" w:eastAsia="宋体"/>
                <w:b w:val="0"/>
                <w:color w:val="000000"/>
                <w:sz w:val="18"/>
              </w:rPr>
              <w:t>10</w:t>
            </w:r>
          </w:p>
        </w:tc>
      </w:tr>
      <w:tr>
        <w:trPr>
          <w:cantSplit/>
        </w:trPr>
        <w:tc>
          <w:tcPr>
            <w:tcW w:type="dxa" w:w="2098"/>
            <w:vAlign w:val="center"/>
          </w:tcPr>
          <w:p>
            <w:pPr>
              <w:spacing w:before="20" w:after="20" w:line="269" w:lineRule="auto"/>
              <w:jc w:val="center"/>
            </w:pPr>
            <w:r>
              <w:rPr>
                <w:rFonts w:ascii="Times New Roman" w:hAnsi="Times New Roman" w:eastAsia="宋体"/>
                <w:b w:val="0"/>
                <w:color w:val="000000"/>
                <w:sz w:val="18"/>
              </w:rPr>
              <w:t>糖尿病</w:t>
            </w:r>
          </w:p>
        </w:tc>
        <w:tc>
          <w:tcPr>
            <w:tcW w:type="dxa" w:w="2154"/>
            <w:vAlign w:val="center"/>
          </w:tcPr>
          <w:p>
            <w:pPr>
              <w:spacing w:before="20" w:after="20" w:line="269" w:lineRule="auto"/>
              <w:jc w:val="center"/>
            </w:pPr>
            <w:r>
              <w:rPr>
                <w:rFonts w:ascii="Times New Roman" w:hAnsi="Times New Roman" w:eastAsia="宋体"/>
                <w:b w:val="0"/>
                <w:color w:val="000000"/>
                <w:sz w:val="18"/>
              </w:rPr>
              <w:t>354</w:t>
            </w:r>
          </w:p>
        </w:tc>
        <w:tc>
          <w:tcPr>
            <w:tcW w:type="dxa" w:w="1417"/>
            <w:vAlign w:val="center"/>
          </w:tcPr>
          <w:p>
            <w:pPr>
              <w:spacing w:before="20" w:after="20" w:line="269" w:lineRule="auto"/>
              <w:jc w:val="center"/>
            </w:pPr>
            <w:r>
              <w:rPr>
                <w:rFonts w:ascii="Times New Roman" w:hAnsi="Times New Roman" w:eastAsia="宋体"/>
                <w:b w:val="0"/>
                <w:color w:val="000000"/>
                <w:sz w:val="18"/>
              </w:rPr>
              <w:t>0</w:t>
            </w:r>
          </w:p>
        </w:tc>
        <w:tc>
          <w:tcPr>
            <w:tcW w:type="dxa" w:w="1417"/>
            <w:vAlign w:val="center"/>
          </w:tcPr>
          <w:p>
            <w:pPr>
              <w:spacing w:before="20" w:after="20" w:line="269" w:lineRule="auto"/>
              <w:jc w:val="center"/>
            </w:pPr>
            <w:r>
              <w:rPr>
                <w:rFonts w:ascii="Times New Roman" w:hAnsi="Times New Roman" w:eastAsia="宋体"/>
                <w:b w:val="0"/>
                <w:color w:val="000000"/>
                <w:sz w:val="18"/>
              </w:rPr>
              <w:t>2</w:t>
            </w:r>
          </w:p>
        </w:tc>
        <w:tc>
          <w:tcPr>
            <w:tcW w:type="dxa" w:w="2268"/>
            <w:vAlign w:val="center"/>
          </w:tcPr>
          <w:p>
            <w:pPr>
              <w:spacing w:before="20" w:after="20" w:line="269" w:lineRule="auto"/>
              <w:jc w:val="center"/>
            </w:pPr>
            <w:r>
              <w:rPr>
                <w:rFonts w:ascii="Times New Roman" w:hAnsi="Times New Roman" w:eastAsia="宋体"/>
                <w:b w:val="0"/>
                <w:color w:val="000000"/>
                <w:sz w:val="18"/>
              </w:rPr>
              <w:t>4</w:t>
            </w:r>
          </w:p>
        </w:tc>
      </w:tr>
      <w:tr>
        <w:trPr>
          <w:cantSplit/>
        </w:trPr>
        <w:tc>
          <w:tcPr>
            <w:tcW w:type="dxa" w:w="2098"/>
            <w:vAlign w:val="center"/>
          </w:tcPr>
          <w:p>
            <w:pPr>
              <w:spacing w:before="20" w:after="20" w:line="269" w:lineRule="auto"/>
              <w:jc w:val="center"/>
            </w:pPr>
            <w:r>
              <w:rPr>
                <w:rFonts w:ascii="Times New Roman" w:hAnsi="Times New Roman" w:eastAsia="宋体"/>
                <w:b w:val="0"/>
                <w:color w:val="000000"/>
                <w:sz w:val="18"/>
              </w:rPr>
              <w:t>卒中</w:t>
            </w:r>
          </w:p>
        </w:tc>
        <w:tc>
          <w:tcPr>
            <w:tcW w:type="dxa" w:w="2154"/>
            <w:vAlign w:val="center"/>
          </w:tcPr>
          <w:p>
            <w:pPr>
              <w:spacing w:before="20" w:after="20" w:line="269" w:lineRule="auto"/>
              <w:jc w:val="center"/>
            </w:pPr>
            <w:r>
              <w:rPr>
                <w:rFonts w:ascii="Times New Roman" w:hAnsi="Times New Roman" w:eastAsia="宋体"/>
                <w:b w:val="0"/>
                <w:color w:val="000000"/>
                <w:sz w:val="18"/>
              </w:rPr>
              <w:t>352</w:t>
            </w:r>
          </w:p>
        </w:tc>
        <w:tc>
          <w:tcPr>
            <w:tcW w:type="dxa" w:w="1417"/>
            <w:vAlign w:val="center"/>
          </w:tcPr>
          <w:p>
            <w:pPr>
              <w:spacing w:before="20" w:after="20" w:line="269" w:lineRule="auto"/>
              <w:jc w:val="center"/>
            </w:pPr>
            <w:r>
              <w:rPr>
                <w:rFonts w:ascii="Times New Roman" w:hAnsi="Times New Roman" w:eastAsia="宋体"/>
                <w:b w:val="0"/>
                <w:color w:val="000000"/>
                <w:sz w:val="18"/>
              </w:rPr>
              <w:t>0</w:t>
            </w:r>
          </w:p>
        </w:tc>
        <w:tc>
          <w:tcPr>
            <w:tcW w:type="dxa" w:w="1417"/>
            <w:vAlign w:val="center"/>
          </w:tcPr>
          <w:p>
            <w:pPr>
              <w:spacing w:before="20" w:after="20" w:line="269" w:lineRule="auto"/>
              <w:jc w:val="center"/>
            </w:pPr>
            <w:r>
              <w:rPr>
                <w:rFonts w:ascii="Times New Roman" w:hAnsi="Times New Roman" w:eastAsia="宋体"/>
                <w:b w:val="0"/>
                <w:color w:val="000000"/>
                <w:sz w:val="18"/>
              </w:rPr>
              <w:t>4</w:t>
            </w:r>
          </w:p>
        </w:tc>
        <w:tc>
          <w:tcPr>
            <w:tcW w:type="dxa" w:w="2268"/>
            <w:vAlign w:val="center"/>
          </w:tcPr>
          <w:p>
            <w:pPr>
              <w:spacing w:before="20" w:after="20" w:line="269" w:lineRule="auto"/>
              <w:jc w:val="center"/>
            </w:pPr>
            <w:r>
              <w:rPr>
                <w:rFonts w:ascii="Times New Roman" w:hAnsi="Times New Roman" w:eastAsia="宋体"/>
                <w:b w:val="0"/>
                <w:color w:val="000000"/>
                <w:sz w:val="18"/>
              </w:rPr>
              <w:t>10</w:t>
            </w:r>
          </w:p>
        </w:tc>
      </w:tr>
      <w:tr>
        <w:trPr>
          <w:cantSplit/>
        </w:trPr>
        <w:tc>
          <w:tcPr>
            <w:tcW w:type="dxa" w:w="2098"/>
            <w:vAlign w:val="center"/>
          </w:tcPr>
          <w:p>
            <w:pPr>
              <w:spacing w:before="20" w:after="20" w:line="269" w:lineRule="auto"/>
              <w:jc w:val="center"/>
            </w:pPr>
            <w:r>
              <w:rPr>
                <w:rFonts w:ascii="Times New Roman" w:hAnsi="Times New Roman" w:eastAsia="宋体"/>
                <w:b w:val="0"/>
                <w:color w:val="000000"/>
                <w:sz w:val="18"/>
              </w:rPr>
              <w:t>心脏病发作</w:t>
            </w:r>
          </w:p>
        </w:tc>
        <w:tc>
          <w:tcPr>
            <w:tcW w:type="dxa" w:w="2154"/>
            <w:vAlign w:val="center"/>
          </w:tcPr>
          <w:p>
            <w:pPr>
              <w:spacing w:before="20" w:after="20" w:line="269" w:lineRule="auto"/>
              <w:jc w:val="center"/>
            </w:pPr>
            <w:r>
              <w:rPr>
                <w:rFonts w:ascii="Times New Roman" w:hAnsi="Times New Roman" w:eastAsia="宋体"/>
                <w:b w:val="0"/>
                <w:color w:val="000000"/>
                <w:sz w:val="18"/>
              </w:rPr>
              <w:t>331</w:t>
            </w:r>
          </w:p>
        </w:tc>
        <w:tc>
          <w:tcPr>
            <w:tcW w:type="dxa" w:w="1417"/>
            <w:vAlign w:val="center"/>
          </w:tcPr>
          <w:p>
            <w:pPr>
              <w:spacing w:before="20" w:after="20" w:line="269" w:lineRule="auto"/>
              <w:jc w:val="center"/>
            </w:pPr>
            <w:r>
              <w:rPr>
                <w:rFonts w:ascii="Times New Roman" w:hAnsi="Times New Roman" w:eastAsia="宋体"/>
                <w:b w:val="0"/>
                <w:color w:val="000000"/>
                <w:sz w:val="18"/>
              </w:rPr>
              <w:t>0</w:t>
            </w:r>
          </w:p>
        </w:tc>
        <w:tc>
          <w:tcPr>
            <w:tcW w:type="dxa" w:w="1417"/>
            <w:vAlign w:val="center"/>
          </w:tcPr>
          <w:p>
            <w:pPr>
              <w:spacing w:before="20" w:after="20" w:line="269" w:lineRule="auto"/>
              <w:jc w:val="center"/>
            </w:pPr>
            <w:r>
              <w:rPr>
                <w:rFonts w:ascii="Times New Roman" w:hAnsi="Times New Roman" w:eastAsia="宋体"/>
                <w:b w:val="0"/>
                <w:color w:val="000000"/>
                <w:sz w:val="18"/>
              </w:rPr>
              <w:t>3</w:t>
            </w:r>
          </w:p>
        </w:tc>
        <w:tc>
          <w:tcPr>
            <w:tcW w:type="dxa" w:w="2268"/>
            <w:vAlign w:val="center"/>
          </w:tcPr>
          <w:p>
            <w:pPr>
              <w:spacing w:before="20" w:after="20" w:line="269" w:lineRule="auto"/>
              <w:jc w:val="center"/>
            </w:pPr>
            <w:r>
              <w:rPr>
                <w:rFonts w:ascii="Times New Roman" w:hAnsi="Times New Roman" w:eastAsia="宋体"/>
                <w:b w:val="0"/>
                <w:color w:val="000000"/>
                <w:sz w:val="18"/>
              </w:rPr>
              <w:t>10</w:t>
            </w:r>
          </w:p>
        </w:tc>
      </w:tr>
      <w:tr>
        <w:trPr>
          <w:cantSplit/>
        </w:trPr>
        <w:tc>
          <w:tcPr>
            <w:tcW w:type="dxa" w:w="2098"/>
            <w:vAlign w:val="center"/>
          </w:tcPr>
          <w:p>
            <w:pPr>
              <w:spacing w:before="20" w:after="20" w:line="269" w:lineRule="auto"/>
              <w:jc w:val="center"/>
            </w:pPr>
            <w:r>
              <w:rPr>
                <w:rFonts w:ascii="Times New Roman" w:hAnsi="Times New Roman" w:eastAsia="宋体"/>
                <w:b w:val="0"/>
                <w:color w:val="000000"/>
                <w:sz w:val="18"/>
              </w:rPr>
              <w:t>骨质疏松</w:t>
            </w:r>
          </w:p>
        </w:tc>
        <w:tc>
          <w:tcPr>
            <w:tcW w:type="dxa" w:w="2154"/>
            <w:vAlign w:val="center"/>
          </w:tcPr>
          <w:p>
            <w:pPr>
              <w:spacing w:before="20" w:after="20" w:line="269" w:lineRule="auto"/>
              <w:jc w:val="center"/>
            </w:pPr>
            <w:r>
              <w:rPr>
                <w:rFonts w:ascii="Times New Roman" w:hAnsi="Times New Roman" w:eastAsia="宋体"/>
                <w:b w:val="0"/>
                <w:color w:val="000000"/>
                <w:sz w:val="18"/>
              </w:rPr>
              <w:t>356</w:t>
            </w:r>
          </w:p>
        </w:tc>
        <w:tc>
          <w:tcPr>
            <w:tcW w:type="dxa" w:w="1417"/>
            <w:vAlign w:val="center"/>
          </w:tcPr>
          <w:p>
            <w:pPr>
              <w:spacing w:before="20" w:after="20" w:line="269" w:lineRule="auto"/>
              <w:jc w:val="center"/>
            </w:pPr>
            <w:r>
              <w:rPr>
                <w:rFonts w:ascii="Times New Roman" w:hAnsi="Times New Roman" w:eastAsia="宋体"/>
                <w:b w:val="0"/>
                <w:color w:val="000000"/>
                <w:sz w:val="18"/>
              </w:rPr>
              <w:t>0</w:t>
            </w:r>
          </w:p>
        </w:tc>
        <w:tc>
          <w:tcPr>
            <w:tcW w:type="dxa" w:w="1417"/>
            <w:vAlign w:val="center"/>
          </w:tcPr>
          <w:p>
            <w:pPr>
              <w:spacing w:before="20" w:after="20" w:line="269" w:lineRule="auto"/>
              <w:jc w:val="center"/>
            </w:pPr>
            <w:r>
              <w:rPr>
                <w:rFonts w:ascii="Times New Roman" w:hAnsi="Times New Roman" w:eastAsia="宋体"/>
                <w:b w:val="0"/>
                <w:color w:val="000000"/>
                <w:sz w:val="18"/>
              </w:rPr>
              <w:t>3</w:t>
            </w:r>
          </w:p>
        </w:tc>
        <w:tc>
          <w:tcPr>
            <w:tcW w:type="dxa" w:w="2268"/>
            <w:vAlign w:val="center"/>
          </w:tcPr>
          <w:p>
            <w:pPr>
              <w:spacing w:before="20" w:after="20" w:line="269" w:lineRule="auto"/>
              <w:jc w:val="center"/>
            </w:pPr>
            <w:r>
              <w:rPr>
                <w:rFonts w:ascii="Times New Roman" w:hAnsi="Times New Roman" w:eastAsia="宋体"/>
                <w:b w:val="0"/>
                <w:color w:val="000000"/>
                <w:sz w:val="18"/>
              </w:rPr>
              <w:t>8</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骨质疏松共11名发病者，识别8名、漏掉3名。不同病种事件数量不同，不宜只按一个总体平均分判断所有任务都达到同样效果。以上计数与图片、指标JSON及逐人预测一致。</w:t>
      </w:r>
    </w:p>
    <w:p>
      <w:pPr>
        <w:keepNext w:val="0"/>
        <w:widowControl/>
        <w:spacing w:before="0" w:after="100" w:line="293" w:lineRule="auto"/>
      </w:pPr>
      <w:r>
        <w:rPr>
          <w:rFonts w:ascii="Times New Roman" w:hAnsi="Times New Roman" w:eastAsia="宋体"/>
          <w:color w:val="000000"/>
          <w:sz w:val="20"/>
        </w:rPr>
        <w:t>原实验另保留只统计未参加对应模型拟合成员的评估：每病仅有2至4例发病，在原0.5阈值下五病种召回率均为0。这个对照表明，全部评估人员中的高分包含对训练成员的识别效果，不能解释为对新老人的同等预测能力。</w:t>
      </w:r>
    </w:p>
    <w:p>
      <w:pPr>
        <w:keepNext w:val="0"/>
        <w:widowControl/>
        <w:spacing w:before="0" w:after="100" w:line="293" w:lineRule="auto"/>
      </w:pPr>
      <w:r>
        <w:rPr>
          <w:rFonts w:ascii="Times New Roman" w:hAnsi="Times New Roman" w:eastAsia="宋体"/>
          <w:color w:val="000000"/>
          <w:sz w:val="20"/>
        </w:rPr>
        <w:t>改进时需要新增未参与开发的社区随访数据，增加阳性事件，并在开发部分确定阈值后再作独立评价。风险概率还需要结合目标人群发生率检查校准。当前文档保留实际结果，不以修改统计分数替代模型改进。</w:t>
      </w:r>
    </w:p>
    <w:p>
      <w:pPr>
        <w:pStyle w:val="3"/>
        <w:keepNext/>
        <w:pageBreakBefore/>
        <w:widowControl/>
        <w:spacing w:before="0" w:after="140" w:line="293" w:lineRule="auto"/>
      </w:pPr>
      <w:r>
        <w:rPr>
          <w:rFonts w:ascii="Times New Roman" w:hAnsi="Times New Roman" w:eastAsia="宋体"/>
          <w:b/>
          <w:color w:val="000000"/>
          <w:sz w:val="30"/>
        </w:rPr>
        <w:t>三 界面设计与使用流程</w:t>
      </w:r>
    </w:p>
    <w:p>
      <w:pPr>
        <w:pStyle w:val="4"/>
        <w:keepNext/>
        <w:pageBreakBefore w:val="0"/>
        <w:widowControl/>
        <w:spacing w:before="160" w:after="100" w:line="293" w:lineRule="auto"/>
      </w:pPr>
      <w:r>
        <w:rPr>
          <w:rFonts w:ascii="Times New Roman" w:hAnsi="Times New Roman" w:eastAsia="宋体"/>
          <w:b w:val="0"/>
          <w:color w:val="000000"/>
          <w:sz w:val="24"/>
        </w:rPr>
        <w:t>1 模块职责与联合数据流</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2268"/>
        <w:gridCol w:w="7087"/>
      </w:tblGrid>
      <w:tr>
        <w:trPr>
          <w:cantSplit/>
          <w:tblHeader/>
        </w:trPr>
        <w:tc>
          <w:tcPr>
            <w:tcW w:type="dxa" w:w="2268"/>
            <w:vAlign w:val="center"/>
            <w:shd w:fill="EDF1F4"/>
          </w:tcPr>
          <w:p>
            <w:pPr>
              <w:spacing w:before="20" w:after="20" w:line="269" w:lineRule="auto"/>
              <w:jc w:val="center"/>
            </w:pPr>
            <w:r>
              <w:rPr>
                <w:rFonts w:ascii="Times New Roman" w:hAnsi="Times New Roman" w:eastAsia="宋体"/>
                <w:b/>
                <w:color w:val="000000"/>
                <w:sz w:val="18"/>
              </w:rPr>
              <w:t>组成</w:t>
            </w:r>
          </w:p>
        </w:tc>
        <w:tc>
          <w:tcPr>
            <w:tcW w:type="dxa" w:w="7087"/>
            <w:vAlign w:val="center"/>
            <w:shd w:fill="EDF1F4"/>
          </w:tcPr>
          <w:p>
            <w:pPr>
              <w:spacing w:before="20" w:after="20" w:line="269" w:lineRule="auto"/>
              <w:jc w:val="center"/>
            </w:pPr>
            <w:r>
              <w:rPr>
                <w:rFonts w:ascii="Times New Roman" w:hAnsi="Times New Roman" w:eastAsia="宋体"/>
                <w:b/>
                <w:color w:val="000000"/>
                <w:sz w:val="18"/>
              </w:rPr>
              <w:t>当前职责</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Vue 用户界面</w:t>
            </w:r>
          </w:p>
        </w:tc>
        <w:tc>
          <w:tcPr>
            <w:tcW w:type="dxa" w:w="7087"/>
            <w:vAlign w:val="center"/>
          </w:tcPr>
          <w:p>
            <w:pPr>
              <w:spacing w:before="20" w:after="20" w:line="269" w:lineRule="auto"/>
              <w:jc w:val="left"/>
            </w:pPr>
            <w:r>
              <w:rPr>
                <w:rFonts w:ascii="Times New Roman" w:hAnsi="Times New Roman" w:eastAsia="宋体"/>
                <w:b w:val="0"/>
                <w:color w:val="000000"/>
                <w:sz w:val="18"/>
              </w:rPr>
              <w:t>显示一张健康汇总表，提交联合预测，展示结果、测量趋势与历史快照。</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Spring Boot 后端</w:t>
            </w:r>
          </w:p>
        </w:tc>
        <w:tc>
          <w:tcPr>
            <w:tcW w:type="dxa" w:w="7087"/>
            <w:vAlign w:val="center"/>
          </w:tcPr>
          <w:p>
            <w:pPr>
              <w:spacing w:before="20" w:after="20" w:line="269" w:lineRule="auto"/>
              <w:jc w:val="left"/>
            </w:pPr>
            <w:r>
              <w:rPr>
                <w:rFonts w:ascii="Times New Roman" w:hAnsi="Times New Roman" w:eastAsia="宋体"/>
                <w:b w:val="0"/>
                <w:color w:val="000000"/>
                <w:sz w:val="18"/>
              </w:rPr>
              <w:t>校验登录角色、保存档案和测量、生成幂等请求、调用模型、保存结果并按权限查询。</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Python 联合推理</w:t>
            </w:r>
          </w:p>
        </w:tc>
        <w:tc>
          <w:tcPr>
            <w:tcW w:type="dxa" w:w="7087"/>
            <w:vAlign w:val="center"/>
          </w:tcPr>
          <w:p>
            <w:pPr>
              <w:spacing w:before="20" w:after="20" w:line="269" w:lineRule="auto"/>
              <w:jc w:val="left"/>
            </w:pPr>
            <w:r>
              <w:rPr>
                <w:rFonts w:ascii="Times New Roman" w:hAnsi="Times New Roman" w:eastAsia="宋体"/>
                <w:b w:val="0"/>
                <w:color w:val="000000"/>
                <w:sz w:val="18"/>
              </w:rPr>
              <w:t>一个进程加载一个个性化模型和五个慢性病模型，分别使用各自处理器、特征和阈值。</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MySQL 或 H2</w:t>
            </w:r>
          </w:p>
        </w:tc>
        <w:tc>
          <w:tcPr>
            <w:tcW w:type="dxa" w:w="7087"/>
            <w:vAlign w:val="center"/>
          </w:tcPr>
          <w:p>
            <w:pPr>
              <w:spacing w:before="20" w:after="20" w:line="269" w:lineRule="auto"/>
              <w:jc w:val="left"/>
            </w:pPr>
            <w:r>
              <w:rPr>
                <w:rFonts w:ascii="Times New Roman" w:hAnsi="Times New Roman" w:eastAsia="宋体"/>
                <w:b w:val="0"/>
                <w:color w:val="000000"/>
                <w:sz w:val="18"/>
              </w:rPr>
              <w:t>保存用户资料、测量、医患咨询关联、两类预测记录及其输入快照。</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用户提交汇总表后，两类任务独立校验。个性化任务使用基础资料、本次测量和既往记录；慢性病任务使用健康生活资料与五项病史。成功的评估写入数据库，同页显示；其中一类资料不全或服务失败时，另一类仍可完成，不把失败状态写成低风险。</w:t>
      </w:r>
    </w:p>
    <w:p>
      <w:pPr>
        <w:pStyle w:val="4"/>
        <w:keepNext/>
        <w:pageBreakBefore w:val="0"/>
        <w:widowControl/>
        <w:spacing w:before="160" w:after="100" w:line="293" w:lineRule="auto"/>
      </w:pPr>
      <w:r>
        <w:rPr>
          <w:rFonts w:ascii="Times New Roman" w:hAnsi="Times New Roman" w:eastAsia="宋体"/>
          <w:b w:val="0"/>
          <w:color w:val="000000"/>
          <w:sz w:val="24"/>
        </w:rPr>
        <w:t>2 六个模型随 Java 后端启动</w:t>
      </w:r>
    </w:p>
    <w:p>
      <w:pPr>
        <w:keepNext w:val="0"/>
        <w:widowControl/>
        <w:spacing w:before="0" w:after="100" w:line="293" w:lineRule="auto"/>
      </w:pPr>
      <w:r>
        <w:rPr>
          <w:rFonts w:ascii="Times New Roman" w:hAnsi="Times New Roman" w:eastAsia="宋体"/>
          <w:color w:val="000000"/>
          <w:sz w:val="20"/>
        </w:rPr>
        <w:t>日常启动后端即可自动拉起本地 Python 联合推理进程，使用 chronic-disease/.venv 的依赖环境，内部监听8001端口；无需再单独开启模型终端，也无需另起8002。前端监听21091端口，Java后端监听21090端口。</w:t>
      </w:r>
    </w:p>
    <w:p>
      <w:pPr>
        <w:keepNext w:val="0"/>
        <w:widowControl/>
        <w:spacing w:before="0" w:after="100" w:line="293" w:lineRule="auto"/>
      </w:pPr>
      <w:r>
        <w:rPr>
          <w:rFonts w:ascii="Times New Roman" w:hAnsi="Times New Roman" w:eastAsia="宋体"/>
          <w:color w:val="000000"/>
          <w:sz w:val="20"/>
        </w:rPr>
        <w:t>后端检查个性化模型与五个慢性病模型的就绪状态和版本。兼容的既有服务可以复用；后端自行启动的推理进程在关闭时清理，异常退出时尝试恢复。模型加载失败时可继续查看历史，预测接口返回明确错误。</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2268"/>
        <w:gridCol w:w="7087"/>
      </w:tblGrid>
      <w:tr>
        <w:trPr>
          <w:cantSplit/>
          <w:tblHeader/>
        </w:trPr>
        <w:tc>
          <w:tcPr>
            <w:tcW w:type="dxa" w:w="2268"/>
            <w:vAlign w:val="center"/>
            <w:shd w:fill="EDF1F4"/>
          </w:tcPr>
          <w:p>
            <w:pPr>
              <w:spacing w:before="20" w:after="20" w:line="269" w:lineRule="auto"/>
              <w:jc w:val="center"/>
            </w:pPr>
            <w:r>
              <w:rPr>
                <w:rFonts w:ascii="Times New Roman" w:hAnsi="Times New Roman" w:eastAsia="宋体"/>
                <w:b/>
                <w:color w:val="000000"/>
                <w:sz w:val="18"/>
              </w:rPr>
              <w:t>使用方式</w:t>
            </w:r>
          </w:p>
        </w:tc>
        <w:tc>
          <w:tcPr>
            <w:tcW w:type="dxa" w:w="7087"/>
            <w:vAlign w:val="center"/>
            <w:shd w:fill="EDF1F4"/>
          </w:tcPr>
          <w:p>
            <w:pPr>
              <w:spacing w:before="20" w:after="20" w:line="269" w:lineRule="auto"/>
              <w:jc w:val="center"/>
            </w:pPr>
            <w:r>
              <w:rPr>
                <w:rFonts w:ascii="Times New Roman" w:hAnsi="Times New Roman" w:eastAsia="宋体"/>
                <w:b/>
                <w:color w:val="000000"/>
                <w:sz w:val="18"/>
              </w:rPr>
              <w:t>操作</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H2 演示</w:t>
            </w:r>
          </w:p>
        </w:tc>
        <w:tc>
          <w:tcPr>
            <w:tcW w:type="dxa" w:w="7087"/>
            <w:vAlign w:val="center"/>
          </w:tcPr>
          <w:p>
            <w:pPr>
              <w:spacing w:before="20" w:after="20" w:line="269" w:lineRule="auto"/>
              <w:jc w:val="left"/>
            </w:pPr>
            <w:r>
              <w:rPr>
                <w:rFonts w:ascii="Times New Roman" w:hAnsi="Times New Roman" w:eastAsia="宋体"/>
                <w:b w:val="0"/>
                <w:color w:val="000000"/>
                <w:sz w:val="18"/>
              </w:rPr>
              <w:t>先运行03_start_demo_backend.bat，再运行04_start_demo_frontend.bat；首次准备Python模型依赖。</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本机 MySQL</w:t>
            </w:r>
          </w:p>
        </w:tc>
        <w:tc>
          <w:tcPr>
            <w:tcW w:type="dxa" w:w="7087"/>
            <w:vAlign w:val="center"/>
          </w:tcPr>
          <w:p>
            <w:pPr>
              <w:spacing w:before="20" w:after="20" w:line="269" w:lineRule="auto"/>
              <w:jc w:val="left"/>
            </w:pPr>
            <w:r>
              <w:rPr>
                <w:rFonts w:ascii="Times New Roman" w:hAnsi="Times New Roman" w:eastAsia="宋体"/>
                <w:b w:val="0"/>
                <w:color w:val="000000"/>
                <w:sz w:val="18"/>
              </w:rPr>
              <w:t>启动MySQL80，使用本机数据库配置；以mysql配置运行Java后端，再启动前端。</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访问入口</w:t>
            </w:r>
          </w:p>
        </w:tc>
        <w:tc>
          <w:tcPr>
            <w:tcW w:type="dxa" w:w="7087"/>
            <w:vAlign w:val="center"/>
          </w:tcPr>
          <w:p>
            <w:pPr>
              <w:spacing w:before="20" w:after="20" w:line="269" w:lineRule="auto"/>
              <w:jc w:val="left"/>
            </w:pPr>
            <w:r>
              <w:rPr>
                <w:rFonts w:ascii="Times New Roman" w:hAnsi="Times New Roman" w:eastAsia="宋体"/>
                <w:b w:val="0"/>
                <w:color w:val="000000"/>
                <w:sz w:val="18"/>
              </w:rPr>
              <w:t>浏览器打开 http://localhost:21091/health-assessment，登录后填写资料并预测。</w:t>
            </w:r>
          </w:p>
        </w:tc>
      </w:tr>
      <w:tr>
        <w:trPr>
          <w:cantSplit/>
        </w:trPr>
        <w:tc>
          <w:tcPr>
            <w:tcW w:type="dxa" w:w="2268"/>
            <w:vAlign w:val="center"/>
          </w:tcPr>
          <w:p>
            <w:pPr>
              <w:spacing w:before="20" w:after="20" w:line="269" w:lineRule="auto"/>
              <w:jc w:val="center"/>
            </w:pPr>
            <w:r>
              <w:rPr>
                <w:rFonts w:ascii="Times New Roman" w:hAnsi="Times New Roman" w:eastAsia="宋体"/>
                <w:b w:val="0"/>
                <w:color w:val="000000"/>
                <w:sz w:val="18"/>
              </w:rPr>
              <w:t>故障检查</w:t>
            </w:r>
          </w:p>
        </w:tc>
        <w:tc>
          <w:tcPr>
            <w:tcW w:type="dxa" w:w="7087"/>
            <w:vAlign w:val="center"/>
          </w:tcPr>
          <w:p>
            <w:pPr>
              <w:spacing w:before="20" w:after="20" w:line="269" w:lineRule="auto"/>
              <w:jc w:val="left"/>
            </w:pPr>
            <w:r>
              <w:rPr>
                <w:rFonts w:ascii="Times New Roman" w:hAnsi="Times New Roman" w:eastAsia="宋体"/>
                <w:b w:val="0"/>
                <w:color w:val="000000"/>
                <w:sz w:val="18"/>
              </w:rPr>
              <w:t>查看模型就绪提示及 IHMS-admin/logs/model-runtime.log，确认数据库、Python环境和权重版本。</w:t>
            </w:r>
          </w:p>
        </w:tc>
      </w:tr>
    </w:tbl>
    <w:p>
      <w:pPr>
        <w:keepNext w:val="0"/>
        <w:widowControl/>
        <w:spacing w:before="0" w:after="20" w:line="293" w:lineRule="auto"/>
      </w:pPr>
    </w:p>
    <w:p>
      <w:pPr>
        <w:pStyle w:val="4"/>
        <w:keepNext/>
        <w:pageBreakBefore w:val="0"/>
        <w:widowControl/>
        <w:spacing w:before="160" w:after="100" w:line="293" w:lineRule="auto"/>
      </w:pPr>
      <w:r>
        <w:rPr>
          <w:rFonts w:ascii="Times New Roman" w:hAnsi="Times New Roman" w:eastAsia="宋体"/>
          <w:b w:val="0"/>
          <w:color w:val="000000"/>
          <w:sz w:val="24"/>
        </w:rPr>
        <w:t>3 版本更新与日常推理</w:t>
      </w:r>
    </w:p>
    <w:p>
      <w:pPr>
        <w:keepNext w:val="0"/>
        <w:widowControl/>
        <w:spacing w:before="0" w:after="100" w:line="293" w:lineRule="auto"/>
      </w:pPr>
      <w:r>
        <w:rPr>
          <w:rFonts w:ascii="Times New Roman" w:hAnsi="Times New Roman" w:eastAsia="宋体"/>
          <w:color w:val="000000"/>
          <w:sz w:val="20"/>
        </w:rPr>
        <w:t>启动系统只是加载已有权重，不会重新训练。慢性病线上版本固定为优化版；本报告图表使用的ExtraTrees权重仍保存在独立实验目录。只有明确调整加载版本、检查接口契约并重启加载后，网页预测才会切换，图表重绘和文档生成均不触发切换。</w:t>
      </w:r>
    </w:p>
    <w:p>
      <w:pPr>
        <w:pStyle w:val="4"/>
        <w:keepNext/>
        <w:pageBreakBefore/>
        <w:widowControl/>
        <w:spacing w:before="0" w:after="100" w:line="293" w:lineRule="auto"/>
      </w:pPr>
      <w:r>
        <w:rPr>
          <w:rFonts w:ascii="Times New Roman" w:hAnsi="Times New Roman" w:eastAsia="宋体"/>
          <w:b w:val="0"/>
          <w:color w:val="000000"/>
          <w:sz w:val="24"/>
        </w:rPr>
        <w:t>4 老人端统一汇总表</w:t>
      </w:r>
    </w:p>
    <w:p>
      <w:pPr>
        <w:keepNext w:val="0"/>
        <w:widowControl/>
        <w:spacing w:before="0" w:after="100" w:line="293" w:lineRule="auto"/>
      </w:pPr>
      <w:r>
        <w:rPr>
          <w:rFonts w:ascii="Times New Roman" w:hAnsi="Times New Roman" w:eastAsia="宋体"/>
          <w:color w:val="000000"/>
          <w:sz w:val="20"/>
        </w:rPr>
        <w:t>老人进入“健康风险评估”后，依次填写健康资料、五项疾病史和本次生理测量。所有字段直接展示，必填与选填逐项标注；不需要在个性化页面和慢性病页面之间重复填写。</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814"/>
        <w:gridCol w:w="4082"/>
        <w:gridCol w:w="3458"/>
      </w:tblGrid>
      <w:tr>
        <w:trPr>
          <w:cantSplit/>
          <w:tblHeader/>
        </w:trPr>
        <w:tc>
          <w:tcPr>
            <w:tcW w:type="dxa" w:w="1814"/>
            <w:vAlign w:val="center"/>
            <w:shd w:fill="EDF1F4"/>
          </w:tcPr>
          <w:p>
            <w:pPr>
              <w:spacing w:before="20" w:after="20" w:line="269" w:lineRule="auto"/>
              <w:jc w:val="center"/>
            </w:pPr>
            <w:r>
              <w:rPr>
                <w:rFonts w:ascii="Times New Roman" w:hAnsi="Times New Roman" w:eastAsia="宋体"/>
                <w:b/>
                <w:color w:val="000000"/>
                <w:sz w:val="18"/>
              </w:rPr>
              <w:t>区域</w:t>
            </w:r>
          </w:p>
        </w:tc>
        <w:tc>
          <w:tcPr>
            <w:tcW w:type="dxa" w:w="4082"/>
            <w:vAlign w:val="center"/>
            <w:shd w:fill="EDF1F4"/>
          </w:tcPr>
          <w:p>
            <w:pPr>
              <w:spacing w:before="20" w:after="20" w:line="269" w:lineRule="auto"/>
              <w:jc w:val="center"/>
            </w:pPr>
            <w:r>
              <w:rPr>
                <w:rFonts w:ascii="Times New Roman" w:hAnsi="Times New Roman" w:eastAsia="宋体"/>
                <w:b/>
                <w:color w:val="000000"/>
                <w:sz w:val="18"/>
              </w:rPr>
              <w:t>填写要求</w:t>
            </w:r>
          </w:p>
        </w:tc>
        <w:tc>
          <w:tcPr>
            <w:tcW w:type="dxa" w:w="3458"/>
            <w:vAlign w:val="center"/>
            <w:shd w:fill="EDF1F4"/>
          </w:tcPr>
          <w:p>
            <w:pPr>
              <w:spacing w:before="20" w:after="20" w:line="269" w:lineRule="auto"/>
              <w:jc w:val="center"/>
            </w:pPr>
            <w:r>
              <w:rPr>
                <w:rFonts w:ascii="Times New Roman" w:hAnsi="Times New Roman" w:eastAsia="宋体"/>
                <w:b/>
                <w:color w:val="000000"/>
                <w:sz w:val="18"/>
              </w:rPr>
              <w:t>预测时的处理</w:t>
            </w:r>
          </w:p>
        </w:tc>
      </w:tr>
      <w:tr>
        <w:trPr>
          <w:cantSplit/>
        </w:trPr>
        <w:tc>
          <w:tcPr>
            <w:tcW w:type="dxa" w:w="1814"/>
            <w:vAlign w:val="center"/>
          </w:tcPr>
          <w:p>
            <w:pPr>
              <w:spacing w:before="20" w:after="20" w:line="269" w:lineRule="auto"/>
              <w:jc w:val="center"/>
            </w:pPr>
            <w:r>
              <w:rPr>
                <w:rFonts w:ascii="Times New Roman" w:hAnsi="Times New Roman" w:eastAsia="宋体"/>
                <w:b w:val="0"/>
                <w:color w:val="000000"/>
                <w:sz w:val="18"/>
              </w:rPr>
              <w:t>基础资料</w:t>
            </w:r>
          </w:p>
        </w:tc>
        <w:tc>
          <w:tcPr>
            <w:tcW w:type="dxa" w:w="4082"/>
            <w:vAlign w:val="center"/>
          </w:tcPr>
          <w:p>
            <w:pPr>
              <w:spacing w:before="20" w:after="20" w:line="269" w:lineRule="auto"/>
              <w:jc w:val="left"/>
            </w:pPr>
            <w:r>
              <w:rPr>
                <w:rFonts w:ascii="Times New Roman" w:hAnsi="Times New Roman" w:eastAsia="宋体"/>
                <w:b w:val="0"/>
                <w:color w:val="000000"/>
                <w:sz w:val="18"/>
              </w:rPr>
              <w:t>年龄、性别必填；BMI为个性化任务必填</w:t>
            </w:r>
          </w:p>
        </w:tc>
        <w:tc>
          <w:tcPr>
            <w:tcW w:type="dxa" w:w="3458"/>
            <w:vAlign w:val="center"/>
          </w:tcPr>
          <w:p>
            <w:pPr>
              <w:spacing w:before="20" w:after="20" w:line="269" w:lineRule="auto"/>
              <w:jc w:val="left"/>
            </w:pPr>
            <w:r>
              <w:rPr>
                <w:rFonts w:ascii="Times New Roman" w:hAnsi="Times New Roman" w:eastAsia="宋体"/>
                <w:b w:val="0"/>
                <w:color w:val="000000"/>
                <w:sz w:val="18"/>
              </w:rPr>
              <w:t>共用年龄和性别，BMI与体重分别使用</w:t>
            </w:r>
          </w:p>
        </w:tc>
      </w:tr>
      <w:tr>
        <w:trPr>
          <w:cantSplit/>
        </w:trPr>
        <w:tc>
          <w:tcPr>
            <w:tcW w:type="dxa" w:w="1814"/>
            <w:vAlign w:val="center"/>
          </w:tcPr>
          <w:p>
            <w:pPr>
              <w:spacing w:before="20" w:after="20" w:line="269" w:lineRule="auto"/>
              <w:jc w:val="center"/>
            </w:pPr>
            <w:r>
              <w:rPr>
                <w:rFonts w:ascii="Times New Roman" w:hAnsi="Times New Roman" w:eastAsia="宋体"/>
                <w:b w:val="0"/>
                <w:color w:val="000000"/>
                <w:sz w:val="18"/>
              </w:rPr>
              <w:t>健康生活资料</w:t>
            </w:r>
          </w:p>
        </w:tc>
        <w:tc>
          <w:tcPr>
            <w:tcW w:type="dxa" w:w="4082"/>
            <w:vAlign w:val="center"/>
          </w:tcPr>
          <w:p>
            <w:pPr>
              <w:spacing w:before="20" w:after="20" w:line="269" w:lineRule="auto"/>
              <w:jc w:val="left"/>
            </w:pPr>
            <w:r>
              <w:rPr>
                <w:rFonts w:ascii="Times New Roman" w:hAnsi="Times New Roman" w:eastAsia="宋体"/>
                <w:b w:val="0"/>
                <w:color w:val="000000"/>
                <w:sz w:val="18"/>
              </w:rPr>
              <w:t>体重、自评健康、吸烟、饮酒、运动五项至少填两项；附加项可选</w:t>
            </w:r>
          </w:p>
        </w:tc>
        <w:tc>
          <w:tcPr>
            <w:tcW w:type="dxa" w:w="3458"/>
            <w:vAlign w:val="center"/>
          </w:tcPr>
          <w:p>
            <w:pPr>
              <w:spacing w:before="20" w:after="20" w:line="269" w:lineRule="auto"/>
              <w:jc w:val="left"/>
            </w:pPr>
            <w:r>
              <w:rPr>
                <w:rFonts w:ascii="Times New Roman" w:hAnsi="Times New Roman" w:eastAsia="宋体"/>
                <w:b w:val="0"/>
                <w:color w:val="000000"/>
                <w:sz w:val="18"/>
              </w:rPr>
              <w:t>未知保持缺失，不自动填成健康或否</w:t>
            </w:r>
          </w:p>
        </w:tc>
      </w:tr>
      <w:tr>
        <w:trPr>
          <w:cantSplit/>
        </w:trPr>
        <w:tc>
          <w:tcPr>
            <w:tcW w:type="dxa" w:w="1814"/>
            <w:vAlign w:val="center"/>
          </w:tcPr>
          <w:p>
            <w:pPr>
              <w:spacing w:before="20" w:after="20" w:line="269" w:lineRule="auto"/>
              <w:jc w:val="center"/>
            </w:pPr>
            <w:r>
              <w:rPr>
                <w:rFonts w:ascii="Times New Roman" w:hAnsi="Times New Roman" w:eastAsia="宋体"/>
                <w:b w:val="0"/>
                <w:color w:val="000000"/>
                <w:sz w:val="18"/>
              </w:rPr>
              <w:t>五项疾病史</w:t>
            </w:r>
          </w:p>
        </w:tc>
        <w:tc>
          <w:tcPr>
            <w:tcW w:type="dxa" w:w="4082"/>
            <w:vAlign w:val="center"/>
          </w:tcPr>
          <w:p>
            <w:pPr>
              <w:spacing w:before="20" w:after="20" w:line="269" w:lineRule="auto"/>
              <w:jc w:val="left"/>
            </w:pPr>
            <w:r>
              <w:rPr>
                <w:rFonts w:ascii="Times New Roman" w:hAnsi="Times New Roman" w:eastAsia="宋体"/>
                <w:b w:val="0"/>
                <w:color w:val="000000"/>
                <w:sz w:val="18"/>
              </w:rPr>
              <w:t>对应病种预测前明确有或无；未知可以保存</w:t>
            </w:r>
          </w:p>
        </w:tc>
        <w:tc>
          <w:tcPr>
            <w:tcW w:type="dxa" w:w="3458"/>
            <w:vAlign w:val="center"/>
          </w:tcPr>
          <w:p>
            <w:pPr>
              <w:spacing w:before="20" w:after="20" w:line="269" w:lineRule="auto"/>
              <w:jc w:val="left"/>
            </w:pPr>
            <w:r>
              <w:rPr>
                <w:rFonts w:ascii="Times New Roman" w:hAnsi="Times New Roman" w:eastAsia="宋体"/>
                <w:b w:val="0"/>
                <w:color w:val="000000"/>
                <w:sz w:val="18"/>
              </w:rPr>
              <w:t>有病史跳过首次预测；未知提示资料不足</w:t>
            </w:r>
          </w:p>
        </w:tc>
      </w:tr>
      <w:tr>
        <w:trPr>
          <w:cantSplit/>
        </w:trPr>
        <w:tc>
          <w:tcPr>
            <w:tcW w:type="dxa" w:w="1814"/>
            <w:vAlign w:val="center"/>
          </w:tcPr>
          <w:p>
            <w:pPr>
              <w:spacing w:before="20" w:after="20" w:line="269" w:lineRule="auto"/>
              <w:jc w:val="center"/>
            </w:pPr>
            <w:r>
              <w:rPr>
                <w:rFonts w:ascii="Times New Roman" w:hAnsi="Times New Roman" w:eastAsia="宋体"/>
                <w:b w:val="0"/>
                <w:color w:val="000000"/>
                <w:sz w:val="18"/>
              </w:rPr>
              <w:t>本次生理测量</w:t>
            </w:r>
          </w:p>
        </w:tc>
        <w:tc>
          <w:tcPr>
            <w:tcW w:type="dxa" w:w="4082"/>
            <w:vAlign w:val="center"/>
          </w:tcPr>
          <w:p>
            <w:pPr>
              <w:spacing w:before="20" w:after="20" w:line="269" w:lineRule="auto"/>
              <w:jc w:val="left"/>
            </w:pPr>
            <w:r>
              <w:rPr>
                <w:rFonts w:ascii="Times New Roman" w:hAnsi="Times New Roman" w:eastAsia="宋体"/>
                <w:b w:val="0"/>
                <w:color w:val="000000"/>
                <w:sz w:val="18"/>
              </w:rPr>
              <w:t>六项至少填写一项实测值，未测项留空</w:t>
            </w:r>
          </w:p>
        </w:tc>
        <w:tc>
          <w:tcPr>
            <w:tcW w:type="dxa" w:w="3458"/>
            <w:vAlign w:val="center"/>
          </w:tcPr>
          <w:p>
            <w:pPr>
              <w:spacing w:before="20" w:after="20" w:line="269" w:lineRule="auto"/>
              <w:jc w:val="left"/>
            </w:pPr>
            <w:r>
              <w:rPr>
                <w:rFonts w:ascii="Times New Roman" w:hAnsi="Times New Roman" w:eastAsia="宋体"/>
                <w:b w:val="0"/>
                <w:color w:val="000000"/>
                <w:sz w:val="18"/>
              </w:rPr>
              <w:t>保留实测记录，缺失输入只在模型内部处理</w:t>
            </w:r>
          </w:p>
        </w:tc>
      </w:tr>
    </w:tbl>
    <w:p>
      <w:pPr>
        <w:keepNext w:val="0"/>
        <w:widowControl/>
        <w:spacing w:before="0" w:after="20" w:line="293" w:lineRule="auto"/>
      </w:pPr>
    </w:p>
    <w:p>
      <w:pPr>
        <w:pStyle w:val="4"/>
        <w:keepNext/>
        <w:pageBreakBefore w:val="0"/>
        <w:widowControl/>
        <w:spacing w:before="160" w:after="100" w:line="293" w:lineRule="auto"/>
      </w:pPr>
      <w:r>
        <w:rPr>
          <w:rFonts w:ascii="Times New Roman" w:hAnsi="Times New Roman" w:eastAsia="宋体"/>
          <w:b w:val="0"/>
          <w:color w:val="000000"/>
          <w:sz w:val="24"/>
        </w:rPr>
        <w:t>5 一个按钮保存并联合预测</w:t>
      </w:r>
    </w:p>
    <w:p>
      <w:pPr>
        <w:keepNext w:val="0"/>
        <w:widowControl/>
        <w:spacing w:before="0" w:after="100" w:line="293" w:lineRule="auto"/>
      </w:pPr>
      <w:r>
        <w:rPr>
          <w:rFonts w:ascii="Times New Roman" w:hAnsi="Times New Roman" w:eastAsia="宋体"/>
          <w:color w:val="000000"/>
          <w:sz w:val="20"/>
        </w:rPr>
        <w:t>点击“保存并联合预测”后，系统按两类任务分别保存和评估。同一页展示个性化风险等级、原因、单项警报、近期测量趋势，以及五病种的概率、是否达到阈值或跳过原因。无需分别点击六个模型的预测按钮。</w:t>
      </w:r>
    </w:p>
    <w:p>
      <w:pPr>
        <w:keepNext w:val="0"/>
        <w:widowControl/>
        <w:spacing w:before="0" w:after="100" w:line="293" w:lineRule="auto"/>
      </w:pPr>
      <w:r>
        <w:rPr>
          <w:rFonts w:ascii="Times New Roman" w:hAnsi="Times New Roman" w:eastAsia="宋体"/>
          <w:color w:val="000000"/>
          <w:sz w:val="20"/>
        </w:rPr>
        <w:t>每种评估通过requestId去重。请求结果不明确时，重试相同请求不会重复保存同一评估；用户修改输入后可形成新的评估。历史列表支持分页查看及当次输入快照，使医生能够看到结果产生时的资料，而不只是用户最新修改后的档案。</w:t>
      </w:r>
    </w:p>
    <w:p>
      <w:pPr>
        <w:pStyle w:val="4"/>
        <w:keepNext/>
        <w:pageBreakBefore w:val="0"/>
        <w:widowControl/>
        <w:spacing w:before="160" w:after="100" w:line="293" w:lineRule="auto"/>
      </w:pPr>
      <w:r>
        <w:rPr>
          <w:rFonts w:ascii="Times New Roman" w:hAnsi="Times New Roman" w:eastAsia="宋体"/>
          <w:b w:val="0"/>
          <w:color w:val="000000"/>
          <w:sz w:val="24"/>
        </w:rPr>
        <w:t>6 模拟手环上传与缺测反馈</w:t>
      </w:r>
    </w:p>
    <w:p>
      <w:pPr>
        <w:keepNext w:val="0"/>
        <w:widowControl/>
        <w:spacing w:before="0" w:after="100" w:line="293" w:lineRule="auto"/>
      </w:pPr>
      <w:r>
        <w:rPr>
          <w:rFonts w:ascii="Times New Roman" w:hAnsi="Times New Roman" w:eastAsia="宋体"/>
          <w:color w:val="000000"/>
          <w:sz w:val="20"/>
        </w:rPr>
        <w:t>“本次生理测量”区域明确说明模拟智能手环上传过程。当前通过表单手动录入收缩压、舒张压、心率、血氧、体温和呼吸频率，保存后参与联合预测与趋势记录，尚未连接真实手环。</w:t>
      </w:r>
    </w:p>
    <w:p>
      <w:pPr>
        <w:keepNext w:val="0"/>
        <w:widowControl/>
        <w:spacing w:before="0" w:after="100" w:line="293" w:lineRule="auto"/>
      </w:pPr>
      <w:r>
        <w:rPr>
          <w:rFonts w:ascii="Times New Roman" w:hAnsi="Times New Roman" w:eastAsia="宋体"/>
          <w:color w:val="000000"/>
          <w:sz w:val="20"/>
        </w:rPr>
        <w:t>当本次缺少某项生理测量时，个性化任务可参考评估前24小时的真实记录；仍缺失时使用随模型保存的处理方法。补全值不会被展示为本次真实测量。资料不足、年龄不适用、已有病史、病史未知和模型不可用分别显示原因，不强行生成概率。</w:t>
      </w:r>
    </w:p>
    <w:p>
      <w:pPr>
        <w:keepNext w:val="0"/>
        <w:widowControl/>
        <w:spacing w:before="0" w:after="100" w:line="293" w:lineRule="auto"/>
      </w:pPr>
      <w:r>
        <w:rPr>
          <w:rFonts w:ascii="Times New Roman" w:hAnsi="Times New Roman" w:eastAsia="宋体"/>
          <w:color w:val="000000"/>
          <w:sz w:val="20"/>
        </w:rPr>
        <w:t>历史记录查询只读取已保存结果，不重新运行模型。页面自动更新时保留用户尚未提交的输入；旧版未保存输入快照的记录会明确提示无法完整还原当次资料。</w:t>
      </w:r>
    </w:p>
    <w:p>
      <w:pPr>
        <w:pStyle w:val="4"/>
        <w:keepNext/>
        <w:pageBreakBefore/>
        <w:widowControl/>
        <w:spacing w:before="0" w:after="100" w:line="293" w:lineRule="auto"/>
      </w:pPr>
      <w:r>
        <w:rPr>
          <w:rFonts w:ascii="Times New Roman" w:hAnsi="Times New Roman" w:eastAsia="宋体"/>
          <w:b w:val="0"/>
          <w:color w:val="000000"/>
          <w:sz w:val="24"/>
        </w:rPr>
        <w:t>7 医生端管理员端及医患关联</w:t>
      </w:r>
    </w:p>
    <w:tbl>
      <w:tblPr>
        <w:tblW w:type="dxa" w:w="9354"/>
        <w:jc w:val="center"/>
        <w:tblLayout w:type="fixed"/>
        <w:tblLook w:firstColumn="1" w:firstRow="1" w:lastColumn="0" w:lastRow="0" w:noHBand="0" w:noVBand="1" w:val="04A0"/>
        <w:tblBorders>
          <w:top w:val="single" w:color="D9D9D9" w:sz="5"/>
          <w:left w:val="single" w:color="D9D9D9" w:sz="5"/>
          <w:bottom w:val="single" w:color="D9D9D9" w:sz="5"/>
          <w:right w:val="single" w:color="D9D9D9" w:sz="5"/>
          <w:insideH w:val="single" w:color="D9D9D9" w:sz="5"/>
          <w:insideV w:val="single" w:color="D9D9D9" w:sz="5"/>
        </w:tblBorders>
        <w:tblCellMar>
          <w:top w:w="70" w:type="dxa"/>
          <w:bottom w:w="70" w:type="dxa"/>
          <w:left w:w="85" w:type="dxa"/>
          <w:right w:w="85" w:type="dxa"/>
        </w:tblCellMar>
      </w:tblPr>
      <w:tblGrid>
        <w:gridCol w:w="1417"/>
        <w:gridCol w:w="3005"/>
        <w:gridCol w:w="4932"/>
      </w:tblGrid>
      <w:tr>
        <w:trPr>
          <w:cantSplit/>
          <w:tblHeader/>
        </w:trPr>
        <w:tc>
          <w:tcPr>
            <w:tcW w:type="dxa" w:w="1417"/>
            <w:vAlign w:val="center"/>
            <w:shd w:fill="EDF1F4"/>
          </w:tcPr>
          <w:p>
            <w:pPr>
              <w:spacing w:before="20" w:after="20" w:line="269" w:lineRule="auto"/>
              <w:jc w:val="center"/>
            </w:pPr>
            <w:r>
              <w:rPr>
                <w:rFonts w:ascii="Times New Roman" w:hAnsi="Times New Roman" w:eastAsia="宋体"/>
                <w:b/>
                <w:color w:val="000000"/>
                <w:sz w:val="18"/>
              </w:rPr>
              <w:t>角色</w:t>
            </w:r>
          </w:p>
        </w:tc>
        <w:tc>
          <w:tcPr>
            <w:tcW w:type="dxa" w:w="3005"/>
            <w:vAlign w:val="center"/>
            <w:shd w:fill="EDF1F4"/>
          </w:tcPr>
          <w:p>
            <w:pPr>
              <w:spacing w:before="20" w:after="20" w:line="269" w:lineRule="auto"/>
              <w:jc w:val="center"/>
            </w:pPr>
            <w:r>
              <w:rPr>
                <w:rFonts w:ascii="Times New Roman" w:hAnsi="Times New Roman" w:eastAsia="宋体"/>
                <w:b/>
                <w:color w:val="000000"/>
                <w:sz w:val="18"/>
              </w:rPr>
              <w:t>查看范围</w:t>
            </w:r>
          </w:p>
        </w:tc>
        <w:tc>
          <w:tcPr>
            <w:tcW w:type="dxa" w:w="4932"/>
            <w:vAlign w:val="center"/>
            <w:shd w:fill="EDF1F4"/>
          </w:tcPr>
          <w:p>
            <w:pPr>
              <w:spacing w:before="20" w:after="20" w:line="269" w:lineRule="auto"/>
              <w:jc w:val="center"/>
            </w:pPr>
            <w:r>
              <w:rPr>
                <w:rFonts w:ascii="Times New Roman" w:hAnsi="Times New Roman" w:eastAsia="宋体"/>
                <w:b/>
                <w:color w:val="000000"/>
                <w:sz w:val="18"/>
              </w:rPr>
              <w:t>主要入口与功能</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老人用户</w:t>
            </w:r>
          </w:p>
        </w:tc>
        <w:tc>
          <w:tcPr>
            <w:tcW w:type="dxa" w:w="3005"/>
            <w:vAlign w:val="center"/>
          </w:tcPr>
          <w:p>
            <w:pPr>
              <w:spacing w:before="20" w:after="20" w:line="269" w:lineRule="auto"/>
              <w:jc w:val="left"/>
            </w:pPr>
            <w:r>
              <w:rPr>
                <w:rFonts w:ascii="Times New Roman" w:hAnsi="Times New Roman" w:eastAsia="宋体"/>
                <w:b w:val="0"/>
                <w:color w:val="000000"/>
                <w:sz w:val="18"/>
              </w:rPr>
              <w:t>本人资料与预测</w:t>
            </w:r>
          </w:p>
        </w:tc>
        <w:tc>
          <w:tcPr>
            <w:tcW w:type="dxa" w:w="4932"/>
            <w:vAlign w:val="center"/>
          </w:tcPr>
          <w:p>
            <w:pPr>
              <w:spacing w:before="20" w:after="20" w:line="269" w:lineRule="auto"/>
              <w:jc w:val="left"/>
            </w:pPr>
            <w:r>
              <w:rPr>
                <w:rFonts w:ascii="Times New Roman" w:hAnsi="Times New Roman" w:eastAsia="宋体"/>
                <w:b w:val="0"/>
                <w:color w:val="000000"/>
                <w:sz w:val="18"/>
              </w:rPr>
              <w:t>健康风险评估；填写资料、联合预测、查看趋势及两类历史。</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医生</w:t>
            </w:r>
          </w:p>
        </w:tc>
        <w:tc>
          <w:tcPr>
            <w:tcW w:type="dxa" w:w="3005"/>
            <w:vAlign w:val="center"/>
          </w:tcPr>
          <w:p>
            <w:pPr>
              <w:spacing w:before="20" w:after="20" w:line="269" w:lineRule="auto"/>
              <w:jc w:val="left"/>
            </w:pPr>
            <w:r>
              <w:rPr>
                <w:rFonts w:ascii="Times New Roman" w:hAnsi="Times New Roman" w:eastAsia="宋体"/>
                <w:b w:val="0"/>
                <w:color w:val="000000"/>
                <w:sz w:val="18"/>
              </w:rPr>
              <w:t>与本人存在咨询关联的患者</w:t>
            </w:r>
          </w:p>
        </w:tc>
        <w:tc>
          <w:tcPr>
            <w:tcW w:type="dxa" w:w="4932"/>
            <w:vAlign w:val="center"/>
          </w:tcPr>
          <w:p>
            <w:pPr>
              <w:spacing w:before="20" w:after="20" w:line="269" w:lineRule="auto"/>
              <w:jc w:val="left"/>
            </w:pPr>
            <w:r>
              <w:rPr>
                <w:rFonts w:ascii="Times New Roman" w:hAnsi="Times New Roman" w:eastAsia="宋体"/>
                <w:b w:val="0"/>
                <w:color w:val="000000"/>
                <w:sz w:val="18"/>
              </w:rPr>
              <w:t>患者健康管理；查看档案、测量、两类结果、输入快照与历史。</w:t>
            </w:r>
          </w:p>
        </w:tc>
      </w:tr>
      <w:tr>
        <w:trPr>
          <w:cantSplit/>
        </w:trPr>
        <w:tc>
          <w:tcPr>
            <w:tcW w:type="dxa" w:w="1417"/>
            <w:vAlign w:val="center"/>
          </w:tcPr>
          <w:p>
            <w:pPr>
              <w:spacing w:before="20" w:after="20" w:line="269" w:lineRule="auto"/>
              <w:jc w:val="center"/>
            </w:pPr>
            <w:r>
              <w:rPr>
                <w:rFonts w:ascii="Times New Roman" w:hAnsi="Times New Roman" w:eastAsia="宋体"/>
                <w:b w:val="0"/>
                <w:color w:val="000000"/>
                <w:sz w:val="18"/>
              </w:rPr>
              <w:t>管理员</w:t>
            </w:r>
          </w:p>
        </w:tc>
        <w:tc>
          <w:tcPr>
            <w:tcW w:type="dxa" w:w="3005"/>
            <w:vAlign w:val="center"/>
          </w:tcPr>
          <w:p>
            <w:pPr>
              <w:spacing w:before="20" w:after="20" w:line="269" w:lineRule="auto"/>
              <w:jc w:val="left"/>
            </w:pPr>
            <w:r>
              <w:rPr>
                <w:rFonts w:ascii="Times New Roman" w:hAnsi="Times New Roman" w:eastAsia="宋体"/>
                <w:b w:val="0"/>
                <w:color w:val="000000"/>
                <w:sz w:val="18"/>
              </w:rPr>
              <w:t>全部用户</w:t>
            </w:r>
          </w:p>
        </w:tc>
        <w:tc>
          <w:tcPr>
            <w:tcW w:type="dxa" w:w="4932"/>
            <w:vAlign w:val="center"/>
          </w:tcPr>
          <w:p>
            <w:pPr>
              <w:spacing w:before="20" w:after="20" w:line="269" w:lineRule="auto"/>
              <w:jc w:val="left"/>
            </w:pPr>
            <w:r>
              <w:rPr>
                <w:rFonts w:ascii="Times New Roman" w:hAnsi="Times New Roman" w:eastAsia="宋体"/>
                <w:b w:val="0"/>
                <w:color w:val="000000"/>
                <w:sz w:val="18"/>
              </w:rPr>
              <w:t>联合评估管理；按姓名账号日期筛选，查看测量、预测、统计与模型状态。</w:t>
            </w:r>
          </w:p>
        </w:tc>
      </w:tr>
    </w:tbl>
    <w:p>
      <w:pPr>
        <w:keepNext w:val="0"/>
        <w:widowControl/>
        <w:spacing w:before="0" w:after="20" w:line="293" w:lineRule="auto"/>
      </w:pPr>
    </w:p>
    <w:p>
      <w:pPr>
        <w:keepNext w:val="0"/>
        <w:widowControl/>
        <w:spacing w:before="0" w:after="100" w:line="293" w:lineRule="auto"/>
      </w:pPr>
      <w:r>
        <w:rPr>
          <w:rFonts w:ascii="Times New Roman" w:hAnsi="Times New Roman" w:eastAsia="宋体"/>
          <w:color w:val="000000"/>
          <w:sz w:val="20"/>
        </w:rPr>
        <w:t>三端通过共用的health-review查询接口读取同一批数据库记录。用户保存后，关联医生和管理员在页面刷新时即可看到；页面可见时每15秒自动刷新，返回页面时立即检查，同一浏览器的其他页面也会接收刷新通知。</w:t>
      </w:r>
    </w:p>
    <w:p>
      <w:pPr>
        <w:pStyle w:val="4"/>
        <w:keepNext/>
        <w:pageBreakBefore w:val="0"/>
        <w:widowControl/>
        <w:spacing w:before="160" w:after="100" w:line="293" w:lineRule="auto"/>
      </w:pPr>
      <w:r>
        <w:rPr>
          <w:rFonts w:ascii="Times New Roman" w:hAnsi="Times New Roman" w:eastAsia="宋体"/>
          <w:b w:val="0"/>
          <w:color w:val="000000"/>
          <w:sz w:val="24"/>
        </w:rPr>
        <w:t>8 当前所有用户已关联 doc1</w:t>
      </w:r>
    </w:p>
    <w:p>
      <w:pPr>
        <w:keepNext w:val="0"/>
        <w:widowControl/>
        <w:spacing w:before="0" w:after="100" w:line="293" w:lineRule="auto"/>
      </w:pPr>
      <w:r>
        <w:rPr>
          <w:rFonts w:ascii="Times New Roman" w:hAnsi="Times New Roman" w:eastAsia="宋体"/>
          <w:color w:val="000000"/>
          <w:sz w:val="20"/>
        </w:rPr>
        <w:t>截至2026年10月17日本次操作完成时，数据库中420个普通用户已全部关联doc1李医生。此前1个用户已有关系，本次新增419条“健康管理关联”咨询记录，原有咨询与其他医生关系保留，管理员账号不纳入。</w:t>
      </w:r>
    </w:p>
    <w:p>
      <w:pPr>
        <w:keepNext w:val="0"/>
        <w:widowControl/>
        <w:spacing w:before="0" w:after="100" w:line="293" w:lineRule="auto"/>
      </w:pPr>
      <w:r>
        <w:rPr>
          <w:rFonts w:ascii="Times New Roman" w:hAnsi="Times New Roman" w:eastAsia="宋体"/>
          <w:color w:val="000000"/>
          <w:sz w:val="20"/>
        </w:rPr>
        <w:t>数据库通过doctor_consultation记录患者与医生关系；创建咨询成功即建立关联，不需要等待医生回复。一般用户可以在“医生咨询”中选医生、填主题并确认，也可以分别向多位医生发起咨询。当前结束咨询只改变会话状态，不自动解除健康数据查看关系。</w:t>
      </w:r>
    </w:p>
    <w:p>
      <w:pPr>
        <w:keepNext w:val="0"/>
        <w:widowControl/>
        <w:spacing w:before="0" w:after="100" w:line="293" w:lineRule="auto"/>
      </w:pPr>
      <w:r>
        <w:rPr>
          <w:rFonts w:ascii="Times New Roman" w:hAnsi="Times New Roman" w:eastAsia="宋体"/>
          <w:color w:val="000000"/>
          <w:sz w:val="20"/>
        </w:rPr>
        <w:t>本次批量操作是对现有用户的一次关联，未改变医生的全局权限，也没有配置新注册用户自动绑定。其他医生仍只能看到与自己有关联的患者。doc1可进入“患者身体数据”立即刷新；已通过接口核对420人列表、2条个性化预测、3条慢性病预测及其详情可见。</w:t>
      </w:r>
    </w:p>
    <w:p>
      <w:pPr>
        <w:pStyle w:val="4"/>
        <w:keepNext/>
        <w:pageBreakBefore w:val="0"/>
        <w:widowControl/>
        <w:spacing w:before="160" w:after="100" w:line="293" w:lineRule="auto"/>
      </w:pPr>
      <w:r>
        <w:rPr>
          <w:rFonts w:ascii="Times New Roman" w:hAnsi="Times New Roman" w:eastAsia="宋体"/>
          <w:b w:val="0"/>
          <w:color w:val="000000"/>
          <w:sz w:val="24"/>
        </w:rPr>
        <w:t>9 文件与结果追溯</w:t>
      </w:r>
    </w:p>
    <w:p>
      <w:pPr>
        <w:keepNext w:val="0"/>
        <w:widowControl/>
        <w:spacing w:before="0" w:after="100" w:line="293" w:lineRule="auto"/>
      </w:pPr>
      <w:r>
        <w:rPr>
          <w:rFonts w:ascii="Times New Roman" w:hAnsi="Times New Roman" w:eastAsia="宋体"/>
          <w:color w:val="000000"/>
          <w:sz w:val="20"/>
        </w:rPr>
        <w:t>个性化模型的正式权重与指标位于risk-service/model；五病种线上版本位于chronic-disease/models/nhefs5-opt-20261015-v2。课程实验的数据快照、权重、逐人预测和图表统一位于chronic-disease/experiments/overlap-demo/runs/overlap-20261017-demo。</w:t>
      </w:r>
    </w:p>
    <w:p>
      <w:pPr>
        <w:keepNext w:val="0"/>
        <w:widowControl/>
        <w:spacing w:before="0" w:after="100" w:line="293" w:lineRule="auto"/>
      </w:pPr>
      <w:r>
        <w:rPr>
          <w:rFonts w:ascii="Times New Roman" w:hAnsi="Times New Roman" w:eastAsia="宋体"/>
          <w:color w:val="000000"/>
          <w:sz w:val="20"/>
        </w:rPr>
        <w:t>实验报告以presentation_summary.csv展示横向指标，以各病种metrics.json保留完整分类报告与混淆矩阵；模型性能图表文件夹保存12张中文图，每张均有PNG、PDF和SVG。成员清单与模型摘要用于核对统计范围和权重，图像、数值与原始记录可互相复算。</w:t>
      </w:r>
    </w:p>
    <w:p>
      <w:pPr>
        <w:keepNext w:val="0"/>
        <w:widowControl/>
        <w:spacing w:before="0" w:after="100" w:line="293" w:lineRule="auto"/>
      </w:pPr>
      <w:r>
        <w:rPr>
          <w:rFonts w:ascii="Times New Roman" w:hAnsi="Times New Roman" w:eastAsia="宋体"/>
          <w:color w:val="000000"/>
          <w:sz w:val="18"/>
        </w:rPr>
        <w:t>数据定义见chronic-disease/reports/nhefs/cohort_audit.json，联合服务入口为risk-service/unified_app.py，页面入口为IHMS-view/src/views/user/HealthAssessment.vue，医患访问规则位于HealthAccessService。运行步骤见docs/RUN_WINDOWS.md。文档描述对应本次更新时的代码、配置和已核验业务状态。</w:t>
      </w:r>
    </w:p>
    <w:sectPr>
      <w:pgSz w:w="11906" w:h="16838"/>
      <w:pgMar w:top="1134" w:right="1276" w:bottom="1020"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2188C"/>
    <w:rsid w:val="200F321E"/>
    <w:rsid w:val="32ED6992"/>
    <w:rsid w:val="3EE055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00" w:line="293" w:lineRule="auto"/>
    </w:pPr>
    <w:rPr>
      <w:rFonts w:ascii="微软雅黑" w:hAnsi="微软雅黑" w:eastAsia="微软雅黑" w:cstheme="minorBidi"/>
      <w:color w:val="000000"/>
      <w:sz w:val="20"/>
      <w:szCs w:val="22"/>
      <w:lang w:val="en-US" w:eastAsia="en-US" w:bidi="ar-SA"/>
    </w:rPr>
  </w:style>
  <w:style w:type="paragraph" w:styleId="3">
    <w:name w:val="heading 1"/>
    <w:basedOn w:val="1"/>
    <w:next w:val="1"/>
    <w:link w:val="139"/>
    <w:qFormat/>
    <w:uiPriority w:val="9"/>
    <w:pPr>
      <w:keepNext/>
      <w:keepLines/>
      <w:spacing w:before="320" w:after="160" w:line="293"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0"/>
    <w:unhideWhenUsed/>
    <w:qFormat/>
    <w:uiPriority w:val="9"/>
    <w:pPr>
      <w:keepNext/>
      <w:keepLines/>
      <w:spacing w:before="240" w:after="100" w:line="293"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1"/>
    <w:unhideWhenUsed/>
    <w:qFormat/>
    <w:uiPriority w:val="9"/>
    <w:pPr>
      <w:keepNext/>
      <w:keepLines/>
      <w:spacing w:before="180" w:after="60" w:line="293" w:lineRule="auto"/>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100" w:after="180" w:line="293" w:lineRule="auto"/>
    </w:pPr>
    <w:rPr>
      <w:rFonts w:ascii="微软雅黑" w:hAnsi="微软雅黑" w:eastAsia="微软雅黑"/>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300" w:line="293" w:lineRule="auto"/>
    </w:pPr>
    <w:rPr>
      <w:rFonts w:asciiTheme="majorHAnsi" w:hAnsiTheme="majorHAnsi" w:eastAsiaTheme="majorEastAsia" w:cstheme="majorBidi"/>
      <w:i/>
      <w:iCs/>
      <w:color w:val="000000"/>
      <w:spacing w:val="15"/>
      <w:sz w:val="23"/>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before="0" w:after="160" w:line="293" w:lineRule="auto"/>
      <w:contextualSpacing/>
    </w:pPr>
    <w:rPr>
      <w:rFonts w:asciiTheme="majorHAnsi" w:hAnsiTheme="majorHAnsi" w:eastAsiaTheme="majorEastAsia" w:cstheme="majorBidi"/>
      <w:b/>
      <w:color w:val="000000"/>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3562</Words>
  <Characters>3812</Characters>
  <Lines>0</Lines>
  <Paragraphs>0</Paragraphs>
  <TotalTime>0</TotalTime>
  <ScaleCrop>false</ScaleCrop>
  <LinksUpToDate>false</LinksUpToDate>
  <CharactersWithSpaces>4045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对方正在输入...</cp:lastModifiedBy>
  <dcterms:modified xsi:type="dcterms:W3CDTF">2026-10-17T09:49:06Z</dcterms:modified>
  <cp:revision>1</cp:revision>
  <dc:title>社区老人健康风险评估系统模型训练与联合评估实现说明</dc:title>
  <dc:subject>联合预测业务流程与模型性能</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eyJoZGlkIjoiZWIzMDQyYWM0OTBjYzYwY2M0M2JkZjRhZWU0NjAwNDIiLCJ1c2VySWQiOiI5NDk2NDMwMDgifQ==</vt:lpwstr>
  </property>
  <property fmtid="{D5CDD505-2E9C-101B-9397-08002B2CF9AE}" pid="3" name="KSOProductBuildVer">
    <vt:lpwstr>2052-12.1.0.28505</vt:lpwstr>
  </property>
  <property fmtid="{D5CDD505-2E9C-101B-9397-08002B2CF9AE}" pid="4" name="ICV">
    <vt:lpwstr>9D4FE4E35D3F4BB99F587D1A97D2C270_12</vt:lpwstr>
  </property>
</Properties>
</file>