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2"/>
        <w:jc w:val="center"/>
        <w:rPr>
          <w:rFonts w:hint="default" w:ascii="Times New Roman" w:hAnsi="Times New Roman" w:eastAsia="宋体" w:cstheme="minorEastAsia"/>
          <w:i w:val="0"/>
          <w:iCs w:val="0"/>
          <w:sz w:val="36"/>
          <w:szCs w:val="36"/>
          <w:lang w:val="en-US" w:eastAsia="zh-CN"/>
        </w:rPr>
      </w:pPr>
      <w:r>
        <w:rPr>
          <w:rFonts w:hint="default" w:ascii="Times New Roman" w:hAnsi="Times New Roman" w:eastAsia="宋体" w:cstheme="minorEastAsia"/>
          <w:i w:val="0"/>
          <w:iCs w:val="0"/>
          <w:sz w:val="36"/>
          <w:szCs w:val="36"/>
        </w:rPr>
        <w:t>社区老人健康风险评估系统</w:t>
      </w:r>
    </w:p>
    <w:p>
      <w:pPr>
        <w:pStyle w:val="26"/>
        <w:jc w:val="center"/>
        <w:rPr>
          <w:rFonts w:hint="default" w:ascii="Times New Roman" w:hAnsi="Times New Roman" w:eastAsia="宋体" w:cstheme="minorEastAsia"/>
          <w:i w:val="0"/>
          <w:iCs w:val="0"/>
          <w:sz w:val="36"/>
          <w:szCs w:val="36"/>
          <w:lang w:val="en-US" w:eastAsia="zh-CN"/>
        </w:rPr>
      </w:pPr>
      <w:r>
        <w:rPr>
          <w:rFonts w:hint="default" w:ascii="Times New Roman" w:hAnsi="Times New Roman" w:eastAsia="宋体" w:cstheme="minorEastAsia"/>
          <w:i w:val="0"/>
          <w:iCs w:val="0"/>
          <w:sz w:val="36"/>
          <w:szCs w:val="36"/>
        </w:rPr>
        <w:t>模型训练与联合评估实现说明</w:t>
      </w:r>
    </w:p>
    <w:p>
      <w:pPr>
        <w:rPr>
          <w:rFonts w:hint="default" w:ascii="Times New Roman" w:hAnsi="Times New Roman" w:eastAsia="宋体" w:cstheme="minorEastAsia"/>
        </w:rPr>
      </w:pPr>
      <w:r>
        <w:rPr>
          <w:rFonts w:hint="default" w:ascii="Times New Roman" w:hAnsi="Times New Roman" w:eastAsia="宋体" w:cstheme="minorEastAsia"/>
        </w:rPr>
        <w:t>更新日期 2026年10月17日</w:t>
      </w:r>
    </w:p>
    <w:p>
      <w:pPr>
        <w:rPr>
          <w:rFonts w:hint="default" w:ascii="Times New Roman" w:hAnsi="Times New Roman" w:eastAsia="宋体" w:cstheme="minorEastAsia"/>
        </w:rPr>
      </w:pPr>
      <w:r>
        <w:rPr>
          <w:rFonts w:hint="default" w:ascii="Times New Roman" w:hAnsi="Times New Roman" w:eastAsia="宋体" w:cstheme="minorEastAsia"/>
        </w:rPr>
        <w:t>系统将个性化生理预警与五种慢性病风险预测放在同一张健康汇总表中。老人一次填写资料和本次测量，点击“保存并联合预测”，即可查看两类结果、历史记录和趋势；医生及管理员依据各自权限查看同一批已保存记录。</w:t>
      </w:r>
    </w:p>
    <w:p>
      <w:pPr>
        <w:rPr>
          <w:rFonts w:hint="default" w:ascii="Times New Roman" w:hAnsi="Times New Roman" w:eastAsia="宋体" w:cstheme="minorEastAsia"/>
        </w:rPr>
      </w:pPr>
      <w:r>
        <w:rPr>
          <w:rFonts w:hint="default" w:ascii="Times New Roman" w:hAnsi="Times New Roman" w:eastAsia="宋体" w:cstheme="minorEastAsia"/>
        </w:rPr>
        <w:t>当前运行由 Vue 前端、Spring Boot 后端和后端管理的 Python 推理进程组成。六个模型共用一个本地推理进程，但保留各自的数据来源、特征、阈值与结果。本文按数据处理、模型训练和界面使用说明实现，并列出五病种实验性能及其统计范围。</w:t>
      </w:r>
    </w:p>
    <w:p>
      <w:pPr>
        <w:pStyle w:val="3"/>
        <w:rPr>
          <w:rFonts w:hint="default" w:ascii="Times New Roman" w:hAnsi="Times New Roman" w:eastAsia="宋体" w:cstheme="minorEastAsia"/>
        </w:rPr>
      </w:pPr>
      <w:r>
        <w:rPr>
          <w:rFonts w:hint="default" w:ascii="Times New Roman" w:hAnsi="Times New Roman" w:eastAsia="宋体" w:cstheme="minorEastAsia"/>
        </w:rPr>
        <w:t>一 数据处理</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1 两类预测的数据来源</w:t>
      </w:r>
    </w:p>
    <w:tbl>
      <w:tblPr>
        <w:tblStyle w:val="33"/>
        <w:tblW w:w="0" w:type="auto"/>
        <w:tblInd w:w="0" w:type="dxa"/>
        <w:tblLayout w:type="fixed"/>
        <w:tblCellMar>
          <w:top w:w="0" w:type="dxa"/>
          <w:left w:w="108" w:type="dxa"/>
          <w:bottom w:w="0" w:type="dxa"/>
          <w:right w:w="108" w:type="dxa"/>
        </w:tblCellMar>
      </w:tblPr>
      <w:tblGrid>
        <w:gridCol w:w="3118"/>
        <w:gridCol w:w="3118"/>
        <w:gridCol w:w="3118"/>
      </w:tblGrid>
      <w:tr>
        <w:trPr>
          <w:cantSplit/>
          <w:tblHeader/>
        </w:trPr>
        <w:tc>
          <w:tcPr>
            <w:tcW w:w="3118" w:type="dxa"/>
            <w:tcBorders>
              <w:top w:val="single" w:color="000000" w:sz="12" w:space="0"/>
              <w:left w:val="nil"/>
              <w:bottom w:val="single" w:color="000000" w:sz="4" w:space="0"/>
              <w:right w:val="nil"/>
              <w:tl2br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预测任务</w:t>
            </w:r>
          </w:p>
        </w:tc>
        <w:tc>
          <w:tcPr>
            <w:tcW w:w="3118"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数据与时间范围</w:t>
            </w:r>
          </w:p>
        </w:tc>
        <w:tc>
          <w:tcPr>
            <w:tcW w:w="3118"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输出含义</w:t>
            </w:r>
          </w:p>
        </w:tc>
      </w:tr>
      <w:tr>
        <w:trPr>
          <w:cantSplit/>
        </w:trPr>
        <w:tc>
          <w:tcPr>
            <w:tcW w:w="3118"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个性化生理预警</w:t>
            </w:r>
          </w:p>
        </w:tc>
        <w:tc>
          <w:tcPr>
            <w:tcW w:w="3118"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PhysioNet 2012 Set A；前24小时特征，后24至48小时制作标签</w:t>
            </w:r>
          </w:p>
        </w:tc>
        <w:tc>
          <w:tcPr>
            <w:tcW w:w="3118"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未来五项生理综合分是否达到项目预警线</w:t>
            </w:r>
          </w:p>
        </w:tc>
      </w:tr>
      <w:tr>
        <w:trPr>
          <w:cantSplit/>
        </w:trPr>
        <w:tc>
          <w:tcPr>
            <w:tcW w:w="311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五病种风险预测</w:t>
            </w:r>
          </w:p>
        </w:tc>
        <w:tc>
          <w:tcPr>
            <w:tcW w:w="311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NHEFS；1987年为基线，1992年为后续访谈，起点65岁及以上</w:t>
            </w:r>
          </w:p>
        </w:tc>
        <w:tc>
          <w:tcPr>
            <w:tcW w:w="311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起点未患对应疾病者在后续访谈中新报告该病的可能性</w:t>
            </w:r>
          </w:p>
        </w:tc>
      </w:tr>
    </w:tbl>
    <w:p>
      <w:pPr>
        <w:spacing w:after="20"/>
        <w:rPr>
          <w:rFonts w:hint="default" w:ascii="Times New Roman" w:hAnsi="Times New Roman" w:eastAsia="宋体" w:cstheme="minorEastAsia"/>
          <w:sz w:val="24"/>
          <w:szCs w:val="24"/>
        </w:rPr>
      </w:pP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两类任务分别使用住院监测数据和历史美国随访资料。五病种任务基于实际调查间隔，不等同于精确60个月的发病概率；输出用于本项目健康管理与课程展示，不能作为疾病确诊。</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2 统一输入的分工</w:t>
      </w:r>
    </w:p>
    <w:tbl>
      <w:tblPr>
        <w:tblStyle w:val="33"/>
        <w:tblW w:w="0" w:type="auto"/>
        <w:tblInd w:w="0" w:type="dxa"/>
        <w:tblLayout w:type="fixed"/>
        <w:tblCellMar>
          <w:top w:w="0" w:type="dxa"/>
          <w:left w:w="108" w:type="dxa"/>
          <w:bottom w:w="0" w:type="dxa"/>
          <w:right w:w="108" w:type="dxa"/>
        </w:tblCellMar>
      </w:tblPr>
      <w:tblGrid>
        <w:gridCol w:w="3118"/>
        <w:gridCol w:w="3118"/>
        <w:gridCol w:w="3118"/>
      </w:tblGrid>
      <w:tr>
        <w:trPr>
          <w:cantSplit/>
          <w:tblHeader/>
        </w:trPr>
        <w:tc>
          <w:tcPr>
            <w:tcW w:w="3118" w:type="dxa"/>
            <w:tcBorders>
              <w:top w:val="single" w:color="000000" w:sz="12" w:space="0"/>
              <w:left w:val="nil"/>
              <w:bottom w:val="single" w:color="000000" w:sz="4" w:space="0"/>
              <w:right w:val="nil"/>
              <w:tl2br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输入类别</w:t>
            </w:r>
          </w:p>
        </w:tc>
        <w:tc>
          <w:tcPr>
            <w:tcW w:w="3118"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主要字段</w:t>
            </w:r>
          </w:p>
        </w:tc>
        <w:tc>
          <w:tcPr>
            <w:tcW w:w="3118"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使用方式</w:t>
            </w:r>
          </w:p>
        </w:tc>
      </w:tr>
      <w:tr>
        <w:trPr>
          <w:cantSplit/>
        </w:trPr>
        <w:tc>
          <w:tcPr>
            <w:tcW w:w="3118"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共用资料</w:t>
            </w:r>
          </w:p>
        </w:tc>
        <w:tc>
          <w:tcPr>
            <w:tcW w:w="3118"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年龄、性别</w:t>
            </w:r>
          </w:p>
        </w:tc>
        <w:tc>
          <w:tcPr>
            <w:tcW w:w="3118"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填写一次，分别传给两类模型</w:t>
            </w:r>
          </w:p>
        </w:tc>
      </w:tr>
      <w:tr>
        <w:trPr>
          <w:cantSplit/>
        </w:trPr>
        <w:tc>
          <w:tcPr>
            <w:tcW w:w="3118"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个性化资料</w:t>
            </w:r>
          </w:p>
        </w:tc>
        <w:tc>
          <w:tcPr>
            <w:tcW w:w="3118"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BMI；收缩压、舒张压、心率、血氧、体温、呼吸频率</w:t>
            </w:r>
          </w:p>
        </w:tc>
        <w:tc>
          <w:tcPr>
            <w:tcW w:w="3118"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形成生理预警输入，并与个人历史比较</w:t>
            </w:r>
          </w:p>
        </w:tc>
      </w:tr>
      <w:tr>
        <w:trPr>
          <w:cantSplit/>
        </w:trPr>
        <w:tc>
          <w:tcPr>
            <w:tcW w:w="311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慢性病资料</w:t>
            </w:r>
          </w:p>
        </w:tc>
        <w:tc>
          <w:tcPr>
            <w:tcW w:w="311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体重、自评健康、吸烟、饮酒、运动及五项病史</w:t>
            </w:r>
          </w:p>
        </w:tc>
        <w:tc>
          <w:tcPr>
            <w:tcW w:w="311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用于五个独立二分类模型</w:t>
            </w:r>
          </w:p>
        </w:tc>
      </w:tr>
    </w:tbl>
    <w:p>
      <w:pPr>
        <w:spacing w:after="20"/>
        <w:rPr>
          <w:rFonts w:hint="default" w:ascii="Times New Roman" w:hAnsi="Times New Roman" w:eastAsia="宋体" w:cstheme="minorEastAsia"/>
          <w:sz w:val="24"/>
          <w:szCs w:val="24"/>
        </w:rPr>
      </w:pP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3 标签形成与队列筛选</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个性化模型以每人后24至48小时的五项生理指标中位数制作训练标签。呼吸频率、血氧、收缩压、心率和体温按项目采用的 NEWS2 分段计分，合计达到5分为预警类，低于5分为未达到预警线。该标签是五项日级综合代理标签，不是完整、同一时刻的 NEWS2 评分。</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后期至少有三项可计分，且在缺失项可能分值范围内仍能确定类别，才保留标签。缺失测量不直接当作正常。沿用按人的原始分组后，个性化模型可用训练、验证、测试样本分别为445、82、91人，其中预警类分别为46、14、12人。</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慢性病队列分别核对1987年的起点病史和1992年的访谈及事件年份。起点已有对应病史者不进入首次新报告任务；病史未知、同年时间无法判断、失访或后续访谈不完整的记录按规则排除。随访前死亡者不记作未发病。</w:t>
      </w:r>
    </w:p>
    <w:tbl>
      <w:tblPr>
        <w:tblStyle w:val="33"/>
        <w:tblW w:w="0" w:type="auto"/>
        <w:tblInd w:w="0" w:type="dxa"/>
        <w:tblLayout w:type="fixed"/>
        <w:tblCellMar>
          <w:top w:w="0" w:type="dxa"/>
          <w:left w:w="108" w:type="dxa"/>
          <w:bottom w:w="0" w:type="dxa"/>
          <w:right w:w="108" w:type="dxa"/>
        </w:tblCellMar>
      </w:tblPr>
      <w:tblGrid>
        <w:gridCol w:w="1870"/>
        <w:gridCol w:w="1870"/>
        <w:gridCol w:w="1870"/>
        <w:gridCol w:w="1870"/>
        <w:gridCol w:w="1874"/>
      </w:tblGrid>
      <w:tr>
        <w:trPr>
          <w:cantSplit/>
          <w:tblHeader/>
        </w:trPr>
        <w:tc>
          <w:tcPr>
            <w:tcW w:w="1870" w:type="dxa"/>
            <w:tcBorders>
              <w:top w:val="single" w:color="000000" w:sz="12" w:space="0"/>
              <w:left w:val="nil"/>
              <w:bottom w:val="single" w:color="000000" w:sz="4" w:space="0"/>
              <w:right w:val="nil"/>
              <w:tl2br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病种</w:t>
            </w:r>
          </w:p>
        </w:tc>
        <w:tc>
          <w:tcPr>
            <w:tcW w:w="187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可用人数</w:t>
            </w:r>
          </w:p>
        </w:tc>
        <w:tc>
          <w:tcPr>
            <w:tcW w:w="187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新报告人数</w:t>
            </w:r>
          </w:p>
        </w:tc>
        <w:tc>
          <w:tcPr>
            <w:tcW w:w="187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原开发人数</w:t>
            </w:r>
          </w:p>
        </w:tc>
        <w:tc>
          <w:tcPr>
            <w:tcW w:w="1874"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原评估人数</w:t>
            </w:r>
          </w:p>
        </w:tc>
      </w:tr>
      <w:tr>
        <w:trPr>
          <w:cantSplit/>
        </w:trPr>
        <w:tc>
          <w:tcPr>
            <w:tcW w:w="187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高血压</w:t>
            </w:r>
          </w:p>
        </w:tc>
        <w:tc>
          <w:tcPr>
            <w:tcW w:w="187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870</w:t>
            </w:r>
          </w:p>
        </w:tc>
        <w:tc>
          <w:tcPr>
            <w:tcW w:w="187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76</w:t>
            </w:r>
          </w:p>
        </w:tc>
        <w:tc>
          <w:tcPr>
            <w:tcW w:w="187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699</w:t>
            </w:r>
          </w:p>
        </w:tc>
        <w:tc>
          <w:tcPr>
            <w:tcW w:w="1874"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171</w:t>
            </w:r>
          </w:p>
        </w:tc>
      </w:tr>
      <w:tr>
        <w:trPr>
          <w:cantSplit/>
        </w:trPr>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糖尿病</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1852</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38</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1492</w:t>
            </w:r>
          </w:p>
        </w:tc>
        <w:tc>
          <w:tcPr>
            <w:tcW w:w="1874"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360</w:t>
            </w:r>
          </w:p>
        </w:tc>
      </w:tr>
      <w:tr>
        <w:trPr>
          <w:cantSplit/>
        </w:trPr>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卒中</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1899</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67</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1533</w:t>
            </w:r>
          </w:p>
        </w:tc>
        <w:tc>
          <w:tcPr>
            <w:tcW w:w="1874"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366</w:t>
            </w:r>
          </w:p>
        </w:tc>
      </w:tr>
      <w:tr>
        <w:trPr>
          <w:cantSplit/>
        </w:trPr>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心脏病发作</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1826</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91</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1482</w:t>
            </w:r>
          </w:p>
        </w:tc>
        <w:tc>
          <w:tcPr>
            <w:tcW w:w="1874"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344</w:t>
            </w:r>
          </w:p>
        </w:tc>
      </w:tr>
      <w:tr>
        <w:trPr>
          <w:cantSplit/>
        </w:trPr>
        <w:tc>
          <w:tcPr>
            <w:tcW w:w="187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骨质疏松</w:t>
            </w:r>
          </w:p>
        </w:tc>
        <w:tc>
          <w:tcPr>
            <w:tcW w:w="187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1928</w:t>
            </w:r>
          </w:p>
        </w:tc>
        <w:tc>
          <w:tcPr>
            <w:tcW w:w="187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53</w:t>
            </w:r>
          </w:p>
        </w:tc>
        <w:tc>
          <w:tcPr>
            <w:tcW w:w="187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1561</w:t>
            </w:r>
          </w:p>
        </w:tc>
        <w:tc>
          <w:tcPr>
            <w:tcW w:w="1874"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367</w:t>
            </w:r>
          </w:p>
        </w:tc>
      </w:tr>
    </w:tbl>
    <w:p>
      <w:pPr>
        <w:spacing w:after="20"/>
        <w:rPr>
          <w:rFonts w:hint="default" w:ascii="Times New Roman" w:hAnsi="Times New Roman" w:eastAsia="宋体" w:cstheme="minorEastAsia"/>
          <w:sz w:val="24"/>
          <w:szCs w:val="24"/>
        </w:rPr>
      </w:pP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五个病种的入组标准不同，同一老人可以属于多个病种队列，因此不能把五行人数相加理解为不同老人的总数。糖尿病、心脏病发作和骨质疏松等标签沿用问卷定义，不扩展为未经数据支持的临床亚型或检查确诊。</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4 特征和缺失值处理</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个性化模型使用年龄、性别、BMI与六项生理特征。缺失呼吸频率按已保存的近邻方法处理，其余缺失输入使用训练阶段确定的中位数，并保留缺失标记。补全值只进入模型，不写成老人真实测量。</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五病种模型使用基线年龄、性别、体重、自评健康、生活习惯、其他病种历史以及高胆固醇史、近期健康变化、增减重和髋部骨折史等字段。预测某病时不把该病自身起点病史作为可训练输入；只有明确无该病史时才运行首次新报告预测。实验采用中位数填补和缺失指示，处理器随权重一同保存。</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统一表单中，年龄和性别必填；BMI为个性化预测必填。慢性病的体重、自评健康、吸烟、饮酒和运动五项至少填两项；附加资料可留空。未知病史不自动改成“无”，而是跳过对应病种并说明原因。</w:t>
      </w:r>
    </w:p>
    <w:p>
      <w:pPr>
        <w:pStyle w:val="3"/>
        <w:rPr>
          <w:rFonts w:hint="default" w:ascii="Times New Roman" w:hAnsi="Times New Roman" w:eastAsia="宋体" w:cstheme="minorEastAsia"/>
        </w:rPr>
      </w:pPr>
      <w:r>
        <w:rPr>
          <w:rFonts w:hint="default" w:ascii="Times New Roman" w:hAnsi="Times New Roman" w:eastAsia="宋体" w:cstheme="minorEastAsia"/>
        </w:rPr>
        <w:t>二 模型训练与性能</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1 个性化生理预警模型</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个性化模型使用 XGBoost 二分类。训练集内对32组参数进行三折分层交叉验证，以平均精确率为主要选择依据；最终参数包括树深度2、子节点最小权重3、学习率0.07、样本抽样比例0.9和正则化强度1.0。缺失处理在相应训练部分拟合。</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验证集用于早停和选取分类阈值。先要求召回率至少75%，再选择 F1 较高的阈值，本版本阈值约0.715。固定测试集共有91人，其中12人属于预警类；参数和阈值不依据该测试集确定。</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1559"/>
        <w:gridCol w:w="1559"/>
        <w:gridCol w:w="1559"/>
        <w:gridCol w:w="1559"/>
        <w:gridCol w:w="1559"/>
      </w:tblGrid>
      <w:tr>
        <w:trPr>
          <w:cantSplit/>
          <w:tblHeader/>
        </w:trPr>
        <w:tc>
          <w:tcPr>
            <w:tcW w:w="1559" w:type="dxa"/>
            <w:tcBorders>
              <w:top w:val="single" w:color="000000" w:sz="12" w:space="0"/>
              <w:left w:val="nil"/>
              <w:bottom w:val="single" w:color="000000" w:sz="4" w:space="0"/>
              <w:right w:val="nil"/>
              <w:tl2br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准确率</w:t>
            </w:r>
          </w:p>
        </w:tc>
        <w:tc>
          <w:tcPr>
            <w:tcW w:w="1559" w:type="dxa"/>
            <w:tcBorders>
              <w:top w:val="single" w:color="000000" w:sz="12" w:space="0"/>
              <w:left w:val="nil"/>
              <w:bottom w:val="single" w:color="000000" w:sz="4"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平衡准确率</w:t>
            </w:r>
          </w:p>
        </w:tc>
        <w:tc>
          <w:tcPr>
            <w:tcW w:w="1559" w:type="dxa"/>
            <w:tcBorders>
              <w:top w:val="single" w:color="000000" w:sz="12" w:space="0"/>
              <w:left w:val="nil"/>
              <w:bottom w:val="single" w:color="000000" w:sz="4"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召回率</w:t>
            </w:r>
          </w:p>
        </w:tc>
        <w:tc>
          <w:tcPr>
            <w:tcW w:w="1559" w:type="dxa"/>
            <w:tcBorders>
              <w:top w:val="single" w:color="000000" w:sz="12" w:space="0"/>
              <w:left w:val="nil"/>
              <w:bottom w:val="single" w:color="000000" w:sz="4"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精确率</w:t>
            </w:r>
          </w:p>
        </w:tc>
        <w:tc>
          <w:tcPr>
            <w:tcW w:w="1559" w:type="dxa"/>
            <w:tcBorders>
              <w:top w:val="single" w:color="000000" w:sz="12" w:space="0"/>
              <w:left w:val="nil"/>
              <w:bottom w:val="single" w:color="000000" w:sz="4"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F1</w:t>
            </w:r>
          </w:p>
        </w:tc>
        <w:tc>
          <w:tcPr>
            <w:tcW w:w="1559" w:type="dxa"/>
            <w:tcBorders>
              <w:top w:val="single" w:color="000000" w:sz="12" w:space="0"/>
              <w:left w:val="nil"/>
              <w:bottom w:val="single" w:color="000000" w:sz="4"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ROC AUC</w:t>
            </w:r>
          </w:p>
        </w:tc>
      </w:tr>
      <w:tr>
        <w:trPr>
          <w:cantSplit/>
        </w:trPr>
        <w:tc>
          <w:tcPr>
            <w:tcW w:w="1559" w:type="dxa"/>
            <w:tcBorders>
              <w:top w:val="single" w:color="000000" w:sz="4" w:space="0"/>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93.41%</w:t>
            </w:r>
          </w:p>
        </w:tc>
        <w:tc>
          <w:tcPr>
            <w:tcW w:w="1559" w:type="dxa"/>
            <w:tcBorders>
              <w:top w:val="single" w:color="000000" w:sz="4" w:space="0"/>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82.07%</w:t>
            </w:r>
          </w:p>
        </w:tc>
        <w:tc>
          <w:tcPr>
            <w:tcW w:w="1559" w:type="dxa"/>
            <w:tcBorders>
              <w:top w:val="single" w:color="000000" w:sz="4" w:space="0"/>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66.67%</w:t>
            </w:r>
          </w:p>
        </w:tc>
        <w:tc>
          <w:tcPr>
            <w:tcW w:w="1559" w:type="dxa"/>
            <w:tcBorders>
              <w:top w:val="single" w:color="000000" w:sz="4" w:space="0"/>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80.00%</w:t>
            </w:r>
          </w:p>
        </w:tc>
        <w:tc>
          <w:tcPr>
            <w:tcW w:w="1559" w:type="dxa"/>
            <w:tcBorders>
              <w:top w:val="single" w:color="000000" w:sz="4" w:space="0"/>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0.727</w:t>
            </w:r>
          </w:p>
        </w:tc>
        <w:tc>
          <w:tcPr>
            <w:tcW w:w="1559" w:type="dxa"/>
            <w:tcBorders>
              <w:top w:val="single" w:color="000000" w:sz="4" w:space="0"/>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0.895</w:t>
            </w:r>
          </w:p>
        </w:tc>
      </w:tr>
    </w:tbl>
    <w:p>
      <w:pPr>
        <w:spacing w:after="20"/>
        <w:rPr>
          <w:rFonts w:hint="default" w:ascii="Times New Roman" w:hAnsi="Times New Roman" w:eastAsia="宋体" w:cstheme="minorEastAsia"/>
          <w:sz w:val="24"/>
          <w:szCs w:val="24"/>
        </w:rPr>
      </w:pPr>
    </w:p>
    <w:p>
      <w:pPr>
        <w:keepNext/>
        <w:spacing w:before="120" w:after="40"/>
        <w:jc w:val="center"/>
        <w:rPr>
          <w:rFonts w:hint="default" w:ascii="Times New Roman" w:hAnsi="Times New Roman" w:eastAsia="宋体" w:cstheme="minorEastAsia"/>
        </w:rPr>
      </w:pPr>
      <w:r>
        <w:drawing>
          <wp:inline distT="0" distB="0" distL="114300" distR="114300">
            <wp:extent cx="2772000" cy="2507464"/>
            <wp:effectExtent l="0" t="0" r="12065" b="5080"/>
            <wp:docPr id="1000" name="Picture 12" descr="个性化生理预警模型固定测试集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
                    <a:stretch>
                      <a:fillRect/>
                    </a:stretch>
                  </pic:blipFill>
                  <pic:spPr>
                    <a:xfrm>
                      <a:off x="0" y="0"/>
                      <a:ext cx="2772000" cy="2507464"/>
                    </a:xfrm>
                    <a:prstGeom prst="rect">
                      <a:avLst/>
                    </a:prstGeom>
                  </pic:spPr>
                </pic:pic>
              </a:graphicData>
            </a:graphic>
          </wp:inline>
        </w:drawing>
      </w:r>
      <w:r>
        <w:t xml:space="preserve">  </w:t>
      </w:r>
      <w:r>
        <w:drawing>
          <wp:inline distT="0" distB="0" distL="114300" distR="114300">
            <wp:extent cx="2772000" cy="2551961"/>
            <wp:effectExtent l="0" t="0" r="12065" b="8255"/>
            <wp:docPr id="1001" name="Picture 13" descr="个性化生理预警模型固定测试集ROC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7"/>
                    <a:stretch>
                      <a:fillRect/>
                    </a:stretch>
                  </pic:blipFill>
                  <pic:spPr>
                    <a:xfrm>
                      <a:off x="0" y="0"/>
                      <a:ext cx="2772000" cy="2551961"/>
                    </a:xfrm>
                    <a:prstGeom prst="rect">
                      <a:avLst/>
                    </a:prstGeom>
                  </pic:spPr>
                </pic:pic>
              </a:graphicData>
            </a:graphic>
          </wp:inline>
        </w:drawing>
      </w:r>
    </w:p>
    <w:p>
      <w:pPr>
        <w:pStyle w:val="15"/>
        <w:jc w:val="center"/>
        <w:rPr>
          <w:rFonts w:hint="default" w:ascii="Times New Roman" w:hAnsi="Times New Roman" w:eastAsia="宋体" w:cstheme="minorEastAsia"/>
        </w:rPr>
      </w:pPr>
      <w:r>
        <w:rPr>
          <w:rFonts w:hint="default" w:ascii="Times New Roman" w:hAnsi="Times New Roman" w:eastAsia="宋体" w:cstheme="minorEastAsia"/>
        </w:rPr>
        <w:t>个性化模型固定测试集混淆矩阵及 ROC 曲线</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固定测试中正确识别8个预警标签、漏掉4个，另有2个误报。其准确率为93.41%，但召回率为66.67%；两者应同时汇报。训练来源为住院监测场景，不能据此推断在所有社区老人中有相同性能。</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2 预测值与个人变化的结合</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在线预测首先汇总本次及此前24小时可用实测，形成模型输入；再与近30天内最多30条既往记录比较，计算个人变化。通常需要至少3条可比较记录才能形成有效个人基线。模型输出达到阈值或个人变化达到规则界线时提示关注，两者及实测异常共同参与最终风险等级。</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页面展示正常、关注、高风险或暂无法评估，并保留主要原因、严重单项异常和测量趋势。这里的“正常”只表示本系统当前规则下未触发预警，不能作为确诊或安全证明。</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3 五病种模型与版本分工</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五病种分别训练二分类模型：同一老人可以对多个病种同时得到风险结果，因此属于多标签任务，不是五选一分类。网站当前固定加载优化版本 nhefs5-opt-20261015-v2，逐病种比较逻辑回归和 XGBoost，并按开发集规则选择模型与阈值。</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本报告所用12张新图来自单独保存的 ExtraTrees 实验版本 overlap-20261017-demo。该实验采用400棵树、类别平衡权重、固定随机种子和0.5分类阈值，保留中位数填补与缺失指示。生成文档和重绘图表均未改变这套权重。</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评估范围说明：这组图对全部原评估人员统计，其中包含参加过拟合的人员，所以属于非独立实验评估。训练拟合分数与全体评估分数分别显示，高分不能写成网站部署版本的独立测试性能；原始成员清单、逐人预测和实验配置均保留。</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4 五病种实验指标横向汇总</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7"/>
        <w:gridCol w:w="737"/>
        <w:gridCol w:w="1191"/>
        <w:gridCol w:w="1247"/>
        <w:gridCol w:w="1191"/>
        <w:gridCol w:w="1247"/>
        <w:gridCol w:w="964"/>
        <w:gridCol w:w="1190"/>
      </w:tblGrid>
      <w:tr>
        <w:trPr>
          <w:cantSplit/>
          <w:tblHeader/>
        </w:trPr>
        <w:tc>
          <w:tcPr>
            <w:tcW w:w="1587" w:type="dxa"/>
            <w:tcBorders>
              <w:top w:val="single" w:color="000000" w:sz="12" w:space="0"/>
              <w:left w:val="nil"/>
              <w:bottom w:val="single" w:color="000000" w:sz="4" w:space="0"/>
              <w:right w:val="nil"/>
              <w:tl2br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病种</w:t>
            </w:r>
          </w:p>
        </w:tc>
        <w:tc>
          <w:tcPr>
            <w:tcW w:w="737" w:type="dxa"/>
            <w:tcBorders>
              <w:top w:val="single" w:color="000000" w:sz="12" w:space="0"/>
              <w:left w:val="nil"/>
              <w:bottom w:val="single" w:color="000000" w:sz="4"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人数</w:t>
            </w:r>
          </w:p>
        </w:tc>
        <w:tc>
          <w:tcPr>
            <w:tcW w:w="1191" w:type="dxa"/>
            <w:tcBorders>
              <w:top w:val="single" w:color="000000" w:sz="12" w:space="0"/>
              <w:left w:val="nil"/>
              <w:bottom w:val="single" w:color="000000" w:sz="4"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准确率</w:t>
            </w:r>
          </w:p>
        </w:tc>
        <w:tc>
          <w:tcPr>
            <w:tcW w:w="1247" w:type="dxa"/>
            <w:tcBorders>
              <w:top w:val="single" w:color="000000" w:sz="12" w:space="0"/>
              <w:left w:val="nil"/>
              <w:bottom w:val="single" w:color="000000" w:sz="4"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平衡</w:t>
              <w:br/>
              <w:t>准确率</w:t>
            </w:r>
          </w:p>
        </w:tc>
        <w:tc>
          <w:tcPr>
            <w:tcW w:w="1191" w:type="dxa"/>
            <w:tcBorders>
              <w:top w:val="single" w:color="000000" w:sz="12" w:space="0"/>
              <w:left w:val="nil"/>
              <w:bottom w:val="single" w:color="000000" w:sz="4"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召回率</w:t>
            </w:r>
          </w:p>
        </w:tc>
        <w:tc>
          <w:tcPr>
            <w:tcW w:w="1247" w:type="dxa"/>
            <w:tcBorders>
              <w:top w:val="single" w:color="000000" w:sz="12" w:space="0"/>
              <w:left w:val="nil"/>
              <w:bottom w:val="single" w:color="000000" w:sz="4"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精确率</w:t>
            </w:r>
          </w:p>
        </w:tc>
        <w:tc>
          <w:tcPr>
            <w:tcW w:w="964" w:type="dxa"/>
            <w:tcBorders>
              <w:top w:val="single" w:color="000000" w:sz="12" w:space="0"/>
              <w:left w:val="nil"/>
              <w:bottom w:val="single" w:color="000000" w:sz="4"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F1</w:t>
            </w:r>
          </w:p>
        </w:tc>
        <w:tc>
          <w:tcPr>
            <w:tcW w:w="1190" w:type="dxa"/>
            <w:tcBorders>
              <w:top w:val="single" w:color="000000" w:sz="12" w:space="0"/>
              <w:left w:val="nil"/>
              <w:bottom w:val="single" w:color="000000" w:sz="4"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ROC</w:t>
              <w:br/>
              <w:t>AUC</w:t>
            </w:r>
          </w:p>
        </w:tc>
      </w:tr>
      <w:tr>
        <w:trPr>
          <w:cantSplit/>
        </w:trPr>
        <w:tc>
          <w:tcPr>
            <w:tcW w:w="1587" w:type="dxa"/>
            <w:tcBorders>
              <w:top w:val="single" w:color="000000" w:sz="4" w:space="0"/>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高血压</w:t>
            </w:r>
          </w:p>
        </w:tc>
        <w:tc>
          <w:tcPr>
            <w:tcW w:w="737" w:type="dxa"/>
            <w:tcBorders>
              <w:top w:val="single" w:color="000000" w:sz="4" w:space="0"/>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171</w:t>
            </w:r>
          </w:p>
        </w:tc>
        <w:tc>
          <w:tcPr>
            <w:tcW w:w="1191" w:type="dxa"/>
            <w:tcBorders>
              <w:top w:val="single" w:color="000000" w:sz="4" w:space="0"/>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97.66%</w:t>
            </w:r>
          </w:p>
        </w:tc>
        <w:tc>
          <w:tcPr>
            <w:tcW w:w="1247" w:type="dxa"/>
            <w:tcBorders>
              <w:top w:val="single" w:color="000000" w:sz="4" w:space="0"/>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88.15%</w:t>
            </w:r>
          </w:p>
        </w:tc>
        <w:tc>
          <w:tcPr>
            <w:tcW w:w="1191" w:type="dxa"/>
            <w:tcBorders>
              <w:top w:val="single" w:color="000000" w:sz="4" w:space="0"/>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76.92%</w:t>
            </w:r>
          </w:p>
        </w:tc>
        <w:tc>
          <w:tcPr>
            <w:tcW w:w="1247" w:type="dxa"/>
            <w:tcBorders>
              <w:top w:val="single" w:color="000000" w:sz="4" w:space="0"/>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90.91%</w:t>
            </w:r>
          </w:p>
        </w:tc>
        <w:tc>
          <w:tcPr>
            <w:tcW w:w="964" w:type="dxa"/>
            <w:tcBorders>
              <w:top w:val="single" w:color="000000" w:sz="4" w:space="0"/>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0.833</w:t>
            </w:r>
          </w:p>
        </w:tc>
        <w:tc>
          <w:tcPr>
            <w:tcW w:w="1190" w:type="dxa"/>
            <w:tcBorders>
              <w:top w:val="single" w:color="000000" w:sz="4" w:space="0"/>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0.974</w:t>
            </w:r>
          </w:p>
        </w:tc>
      </w:tr>
      <w:tr>
        <w:trPr>
          <w:cantSplit/>
        </w:trPr>
        <w:tc>
          <w:tcPr>
            <w:tcW w:w="1587"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糖尿病</w:t>
            </w:r>
          </w:p>
        </w:tc>
        <w:tc>
          <w:tcPr>
            <w:tcW w:w="737"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360</w:t>
            </w:r>
          </w:p>
        </w:tc>
        <w:tc>
          <w:tcPr>
            <w:tcW w:w="1191"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99.44%</w:t>
            </w:r>
          </w:p>
        </w:tc>
        <w:tc>
          <w:tcPr>
            <w:tcW w:w="1247"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83.33%</w:t>
            </w:r>
          </w:p>
        </w:tc>
        <w:tc>
          <w:tcPr>
            <w:tcW w:w="1191"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66.67%</w:t>
            </w:r>
          </w:p>
        </w:tc>
        <w:tc>
          <w:tcPr>
            <w:tcW w:w="1247"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100.00%</w:t>
            </w:r>
          </w:p>
        </w:tc>
        <w:tc>
          <w:tcPr>
            <w:tcW w:w="964"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0.800</w:t>
            </w:r>
          </w:p>
        </w:tc>
        <w:tc>
          <w:tcPr>
            <w:tcW w:w="1190"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0.993</w:t>
            </w:r>
          </w:p>
        </w:tc>
      </w:tr>
      <w:tr>
        <w:trPr>
          <w:cantSplit/>
        </w:trPr>
        <w:tc>
          <w:tcPr>
            <w:tcW w:w="1587"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卒中</w:t>
            </w:r>
          </w:p>
        </w:tc>
        <w:tc>
          <w:tcPr>
            <w:tcW w:w="737"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366</w:t>
            </w:r>
          </w:p>
        </w:tc>
        <w:tc>
          <w:tcPr>
            <w:tcW w:w="1191"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98.91%</w:t>
            </w:r>
          </w:p>
        </w:tc>
        <w:tc>
          <w:tcPr>
            <w:tcW w:w="1247"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85.71%</w:t>
            </w:r>
          </w:p>
        </w:tc>
        <w:tc>
          <w:tcPr>
            <w:tcW w:w="1191"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71.43%</w:t>
            </w:r>
          </w:p>
        </w:tc>
        <w:tc>
          <w:tcPr>
            <w:tcW w:w="1247"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100.00%</w:t>
            </w:r>
          </w:p>
        </w:tc>
        <w:tc>
          <w:tcPr>
            <w:tcW w:w="964"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0.833</w:t>
            </w:r>
          </w:p>
        </w:tc>
        <w:tc>
          <w:tcPr>
            <w:tcW w:w="1190"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0.902</w:t>
            </w:r>
          </w:p>
        </w:tc>
      </w:tr>
      <w:tr>
        <w:trPr>
          <w:cantSplit/>
        </w:trPr>
        <w:tc>
          <w:tcPr>
            <w:tcW w:w="1587"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心脏病发作</w:t>
            </w:r>
          </w:p>
        </w:tc>
        <w:tc>
          <w:tcPr>
            <w:tcW w:w="737"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344</w:t>
            </w:r>
          </w:p>
        </w:tc>
        <w:tc>
          <w:tcPr>
            <w:tcW w:w="1191"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99.13%</w:t>
            </w:r>
          </w:p>
        </w:tc>
        <w:tc>
          <w:tcPr>
            <w:tcW w:w="1247"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88.46%</w:t>
            </w:r>
          </w:p>
        </w:tc>
        <w:tc>
          <w:tcPr>
            <w:tcW w:w="1191"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76.92%</w:t>
            </w:r>
          </w:p>
        </w:tc>
        <w:tc>
          <w:tcPr>
            <w:tcW w:w="1247"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100.00%</w:t>
            </w:r>
          </w:p>
        </w:tc>
        <w:tc>
          <w:tcPr>
            <w:tcW w:w="964"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0.870</w:t>
            </w:r>
          </w:p>
        </w:tc>
        <w:tc>
          <w:tcPr>
            <w:tcW w:w="1190"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0.947</w:t>
            </w:r>
          </w:p>
        </w:tc>
      </w:tr>
      <w:tr>
        <w:trPr>
          <w:cantSplit/>
        </w:trPr>
        <w:tc>
          <w:tcPr>
            <w:tcW w:w="1587" w:type="dxa"/>
            <w:tcBorders>
              <w:top w:val="nil"/>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骨质疏松</w:t>
            </w:r>
          </w:p>
        </w:tc>
        <w:tc>
          <w:tcPr>
            <w:tcW w:w="737" w:type="dxa"/>
            <w:tcBorders>
              <w:top w:val="nil"/>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367</w:t>
            </w:r>
          </w:p>
        </w:tc>
        <w:tc>
          <w:tcPr>
            <w:tcW w:w="1191" w:type="dxa"/>
            <w:tcBorders>
              <w:top w:val="nil"/>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99.18%</w:t>
            </w:r>
          </w:p>
        </w:tc>
        <w:tc>
          <w:tcPr>
            <w:tcW w:w="1247" w:type="dxa"/>
            <w:tcBorders>
              <w:top w:val="nil"/>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86.36%</w:t>
            </w:r>
          </w:p>
        </w:tc>
        <w:tc>
          <w:tcPr>
            <w:tcW w:w="1191" w:type="dxa"/>
            <w:tcBorders>
              <w:top w:val="nil"/>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72.73%</w:t>
            </w:r>
          </w:p>
        </w:tc>
        <w:tc>
          <w:tcPr>
            <w:tcW w:w="1247" w:type="dxa"/>
            <w:tcBorders>
              <w:top w:val="nil"/>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100.00%</w:t>
            </w:r>
          </w:p>
        </w:tc>
        <w:tc>
          <w:tcPr>
            <w:tcW w:w="964" w:type="dxa"/>
            <w:tcBorders>
              <w:top w:val="nil"/>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0.842</w:t>
            </w:r>
          </w:p>
        </w:tc>
        <w:tc>
          <w:tcPr>
            <w:tcW w:w="1190" w:type="dxa"/>
            <w:tcBorders>
              <w:top w:val="nil"/>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0.853</w:t>
            </w:r>
          </w:p>
        </w:tc>
      </w:tr>
    </w:tbl>
    <w:p>
      <w:pPr>
        <w:spacing w:after="20"/>
        <w:rPr>
          <w:rFonts w:hint="default" w:ascii="Times New Roman" w:hAnsi="Times New Roman" w:eastAsia="宋体" w:cstheme="minorEastAsia"/>
          <w:sz w:val="24"/>
          <w:szCs w:val="24"/>
        </w:rPr>
      </w:pP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以上分数对应固定的171、360、366、344、367名评估人员，每病种内每人只计算一次。F1为精确率与召回率的调和平均；ROC AUC反映风险排序能力。该表与后续12幅图使用同一统计范围。</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5 准确率与平衡准确率</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下图分别展示训练拟合与全体实验评估表现。准确率衡量整体分类正确比例，平衡准确率平均考虑两类样本的识别情况；二者应结合观察。</w:t>
      </w:r>
    </w:p>
    <w:p>
      <w:pPr>
        <w:keepNext/>
        <w:spacing w:before="120" w:after="40"/>
        <w:jc w:val="center"/>
        <w:rPr>
          <w:rFonts w:hint="default" w:ascii="Times New Roman" w:hAnsi="Times New Roman" w:eastAsia="宋体" w:cstheme="minorEastAsia"/>
        </w:rPr>
      </w:pPr>
      <w:r>
        <w:drawing>
          <wp:inline xmlns:a="http://schemas.openxmlformats.org/drawingml/2006/main" xmlns:pic="http://schemas.openxmlformats.org/drawingml/2006/picture">
            <wp:extent cx="5400000" cy="3600000"/>
            <wp:docPr id="1002" name="Picture 1002" descr="图 1  五病种准确率对比"/>
            <wp:cNvGraphicFramePr>
              <a:graphicFrameLocks noChangeAspect="1"/>
            </wp:cNvGraphicFramePr>
            <a:graphic>
              <a:graphicData uri="http://schemas.openxmlformats.org/drawingml/2006/picture">
                <pic:pic>
                  <pic:nvPicPr>
                    <pic:cNvPr id="0" name="01_准确率对比.png"/>
                    <pic:cNvPicPr/>
                  </pic:nvPicPr>
                  <pic:blipFill>
                    <a:blip r:embed="rId20"/>
                    <a:stretch>
                      <a:fillRect/>
                    </a:stretch>
                  </pic:blipFill>
                  <pic:spPr>
                    <a:xfrm>
                      <a:off x="0" y="0"/>
                      <a:ext cx="5400000" cy="3600000"/>
                    </a:xfrm>
                    <a:prstGeom prst="rect"/>
                  </pic:spPr>
                </pic:pic>
              </a:graphicData>
            </a:graphic>
          </wp:inline>
        </w:drawing>
      </w:r>
    </w:p>
    <w:p>
      <w:pPr>
        <w:pStyle w:val="15"/>
        <w:jc w:val="center"/>
        <w:rPr>
          <w:rFonts w:hint="default" w:ascii="Times New Roman" w:hAnsi="Times New Roman" w:eastAsia="宋体" w:cstheme="minorEastAsia"/>
        </w:rPr>
      </w:pPr>
      <w:r>
        <w:rPr>
          <w:rFonts w:hint="default" w:ascii="Times New Roman" w:hAnsi="Times New Roman" w:eastAsia="宋体" w:cstheme="minorEastAsia"/>
        </w:rPr>
        <w:t>图 1  五病种准确率对比</w:t>
      </w:r>
    </w:p>
    <w:p>
      <w:pPr>
        <w:keepNext/>
        <w:spacing w:before="120" w:after="40"/>
        <w:jc w:val="center"/>
        <w:rPr>
          <w:rFonts w:hint="default" w:ascii="Times New Roman" w:hAnsi="Times New Roman" w:eastAsia="宋体" w:cstheme="minorEastAsia"/>
        </w:rPr>
      </w:pPr>
      <w:r>
        <w:drawing>
          <wp:inline xmlns:a="http://schemas.openxmlformats.org/drawingml/2006/main" xmlns:pic="http://schemas.openxmlformats.org/drawingml/2006/picture">
            <wp:extent cx="5400000" cy="3600000"/>
            <wp:docPr id="1003" name="Picture 1003" descr="图 2  五病种平衡准确率对比"/>
            <wp:cNvGraphicFramePr>
              <a:graphicFrameLocks noChangeAspect="1"/>
            </wp:cNvGraphicFramePr>
            <a:graphic>
              <a:graphicData uri="http://schemas.openxmlformats.org/drawingml/2006/picture">
                <pic:pic>
                  <pic:nvPicPr>
                    <pic:cNvPr id="0" name="02_平衡准确率对比.png"/>
                    <pic:cNvPicPr/>
                  </pic:nvPicPr>
                  <pic:blipFill>
                    <a:blip r:embed="rId21"/>
                    <a:stretch>
                      <a:fillRect/>
                    </a:stretch>
                  </pic:blipFill>
                  <pic:spPr>
                    <a:xfrm>
                      <a:off x="0" y="0"/>
                      <a:ext cx="5400000" cy="3600000"/>
                    </a:xfrm>
                    <a:prstGeom prst="rect"/>
                  </pic:spPr>
                </pic:pic>
              </a:graphicData>
            </a:graphic>
          </wp:inline>
        </w:drawing>
      </w:r>
    </w:p>
    <w:p>
      <w:pPr>
        <w:pStyle w:val="15"/>
        <w:jc w:val="center"/>
        <w:rPr>
          <w:rFonts w:hint="default" w:ascii="Times New Roman" w:hAnsi="Times New Roman" w:eastAsia="宋体" w:cstheme="minorEastAsia"/>
        </w:rPr>
      </w:pPr>
      <w:r>
        <w:rPr>
          <w:rFonts w:hint="default" w:ascii="Times New Roman" w:hAnsi="Times New Roman" w:eastAsia="宋体" w:cstheme="minorEastAsia"/>
        </w:rPr>
        <w:t>图 2  五病种平衡准确率对比</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6 样本数量与发病事件</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各病种使用各自符合标准的队列，评估集发病人数为6至14人。样本数量图中的训练与评估人数分别统计，不代表两组互斥。</w:t>
      </w:r>
    </w:p>
    <w:p>
      <w:pPr>
        <w:keepNext/>
        <w:spacing w:before="120" w:after="40"/>
        <w:jc w:val="center"/>
        <w:rPr>
          <w:rFonts w:hint="default" w:ascii="Times New Roman" w:hAnsi="Times New Roman" w:eastAsia="宋体" w:cstheme="minorEastAsia"/>
        </w:rPr>
      </w:pPr>
      <w:r>
        <w:drawing>
          <wp:inline xmlns:a="http://schemas.openxmlformats.org/drawingml/2006/main" xmlns:pic="http://schemas.openxmlformats.org/drawingml/2006/picture">
            <wp:extent cx="5400000" cy="3600000"/>
            <wp:docPr id="1004" name="Picture 1004" descr="图 3  训练及评估样本数量"/>
            <wp:cNvGraphicFramePr>
              <a:graphicFrameLocks noChangeAspect="1"/>
            </wp:cNvGraphicFramePr>
            <a:graphic>
              <a:graphicData uri="http://schemas.openxmlformats.org/drawingml/2006/picture">
                <pic:pic>
                  <pic:nvPicPr>
                    <pic:cNvPr id="0" name="03_样本数量统计.png"/>
                    <pic:cNvPicPr/>
                  </pic:nvPicPr>
                  <pic:blipFill>
                    <a:blip r:embed="rId22"/>
                    <a:stretch>
                      <a:fillRect/>
                    </a:stretch>
                  </pic:blipFill>
                  <pic:spPr>
                    <a:xfrm>
                      <a:off x="0" y="0"/>
                      <a:ext cx="5400000" cy="3600000"/>
                    </a:xfrm>
                    <a:prstGeom prst="rect"/>
                  </pic:spPr>
                </pic:pic>
              </a:graphicData>
            </a:graphic>
          </wp:inline>
        </w:drawing>
      </w:r>
    </w:p>
    <w:p>
      <w:pPr>
        <w:pStyle w:val="15"/>
        <w:jc w:val="center"/>
        <w:rPr>
          <w:rFonts w:hint="default" w:ascii="Times New Roman" w:hAnsi="Times New Roman" w:eastAsia="宋体" w:cstheme="minorEastAsia"/>
        </w:rPr>
      </w:pPr>
      <w:r>
        <w:rPr>
          <w:rFonts w:hint="default" w:ascii="Times New Roman" w:hAnsi="Times New Roman" w:eastAsia="宋体" w:cstheme="minorEastAsia"/>
        </w:rPr>
        <w:t>图 3  训练及评估样本数量</w:t>
      </w:r>
    </w:p>
    <w:p>
      <w:pPr>
        <w:keepNext/>
        <w:spacing w:before="120" w:after="40"/>
        <w:jc w:val="center"/>
        <w:rPr>
          <w:rFonts w:hint="default" w:ascii="Times New Roman" w:hAnsi="Times New Roman" w:eastAsia="宋体" w:cstheme="minorEastAsia"/>
        </w:rPr>
      </w:pPr>
      <w:r>
        <w:drawing>
          <wp:inline xmlns:a="http://schemas.openxmlformats.org/drawingml/2006/main" xmlns:pic="http://schemas.openxmlformats.org/drawingml/2006/picture">
            <wp:extent cx="5400000" cy="3600000"/>
            <wp:docPr id="1005" name="Picture 1005" descr="图 4  评估集发病事件分布"/>
            <wp:cNvGraphicFramePr>
              <a:graphicFrameLocks noChangeAspect="1"/>
            </wp:cNvGraphicFramePr>
            <a:graphic>
              <a:graphicData uri="http://schemas.openxmlformats.org/drawingml/2006/picture">
                <pic:pic>
                  <pic:nvPicPr>
                    <pic:cNvPr id="0" name="04_评估集事件分布.png"/>
                    <pic:cNvPicPr/>
                  </pic:nvPicPr>
                  <pic:blipFill>
                    <a:blip r:embed="rId23"/>
                    <a:stretch>
                      <a:fillRect/>
                    </a:stretch>
                  </pic:blipFill>
                  <pic:spPr>
                    <a:xfrm>
                      <a:off x="0" y="0"/>
                      <a:ext cx="5400000" cy="3600000"/>
                    </a:xfrm>
                    <a:prstGeom prst="rect"/>
                  </pic:spPr>
                </pic:pic>
              </a:graphicData>
            </a:graphic>
          </wp:inline>
        </w:drawing>
      </w:r>
    </w:p>
    <w:p>
      <w:pPr>
        <w:pStyle w:val="15"/>
        <w:jc w:val="center"/>
        <w:rPr>
          <w:rFonts w:hint="default" w:ascii="Times New Roman" w:hAnsi="Times New Roman" w:eastAsia="宋体" w:cstheme="minorEastAsia"/>
        </w:rPr>
      </w:pPr>
      <w:r>
        <w:rPr>
          <w:rFonts w:hint="default" w:ascii="Times New Roman" w:hAnsi="Times New Roman" w:eastAsia="宋体" w:cstheme="minorEastAsia"/>
        </w:rPr>
        <w:t>图 4  评估集发病事件分布</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7 综合指标与风险排序</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热力图集中展示六项指标，ROC曲线比较不同阈值下的真阳性率和假阳性率。曲线和热力图仍使用同一实验评估范围。</w:t>
      </w:r>
    </w:p>
    <w:p>
      <w:pPr>
        <w:keepNext/>
        <w:spacing w:before="120" w:after="40"/>
        <w:jc w:val="center"/>
        <w:rPr>
          <w:rFonts w:hint="default" w:ascii="Times New Roman" w:hAnsi="Times New Roman" w:eastAsia="宋体" w:cstheme="minorEastAsia"/>
        </w:rPr>
      </w:pPr>
      <w:r>
        <w:drawing>
          <wp:inline xmlns:a="http://schemas.openxmlformats.org/drawingml/2006/main" xmlns:pic="http://schemas.openxmlformats.org/drawingml/2006/picture">
            <wp:extent cx="5400000" cy="3600000"/>
            <wp:docPr id="1006" name="Picture 1006" descr="图 5  五病种模型性能指标热力图"/>
            <wp:cNvGraphicFramePr>
              <a:graphicFrameLocks noChangeAspect="1"/>
            </wp:cNvGraphicFramePr>
            <a:graphic>
              <a:graphicData uri="http://schemas.openxmlformats.org/drawingml/2006/picture">
                <pic:pic>
                  <pic:nvPicPr>
                    <pic:cNvPr id="0" name="05_模型性能指标热力图.png"/>
                    <pic:cNvPicPr/>
                  </pic:nvPicPr>
                  <pic:blipFill>
                    <a:blip r:embed="rId24"/>
                    <a:stretch>
                      <a:fillRect/>
                    </a:stretch>
                  </pic:blipFill>
                  <pic:spPr>
                    <a:xfrm>
                      <a:off x="0" y="0"/>
                      <a:ext cx="5400000" cy="3600000"/>
                    </a:xfrm>
                    <a:prstGeom prst="rect"/>
                  </pic:spPr>
                </pic:pic>
              </a:graphicData>
            </a:graphic>
          </wp:inline>
        </w:drawing>
      </w:r>
    </w:p>
    <w:p>
      <w:pPr>
        <w:pStyle w:val="15"/>
        <w:jc w:val="center"/>
        <w:rPr>
          <w:rFonts w:hint="default" w:ascii="Times New Roman" w:hAnsi="Times New Roman" w:eastAsia="宋体" w:cstheme="minorEastAsia"/>
        </w:rPr>
      </w:pPr>
      <w:r>
        <w:rPr>
          <w:rFonts w:hint="default" w:ascii="Times New Roman" w:hAnsi="Times New Roman" w:eastAsia="宋体" w:cstheme="minorEastAsia"/>
        </w:rPr>
        <w:t>图 5  五病种模型性能指标热力图</w:t>
      </w:r>
    </w:p>
    <w:p>
      <w:pPr>
        <w:keepNext/>
        <w:spacing w:before="120" w:after="40"/>
        <w:jc w:val="center"/>
        <w:rPr>
          <w:rFonts w:hint="default" w:ascii="Times New Roman" w:hAnsi="Times New Roman" w:eastAsia="宋体" w:cstheme="minorEastAsia"/>
        </w:rPr>
      </w:pPr>
      <w:r>
        <w:drawing>
          <wp:inline xmlns:a="http://schemas.openxmlformats.org/drawingml/2006/main" xmlns:pic="http://schemas.openxmlformats.org/drawingml/2006/picture">
            <wp:extent cx="5400000" cy="3600000"/>
            <wp:docPr id="1007" name="Picture 1007" descr="图 6  五病种 ROC 曲线"/>
            <wp:cNvGraphicFramePr>
              <a:graphicFrameLocks noChangeAspect="1"/>
            </wp:cNvGraphicFramePr>
            <a:graphic>
              <a:graphicData uri="http://schemas.openxmlformats.org/drawingml/2006/picture">
                <pic:pic>
                  <pic:nvPicPr>
                    <pic:cNvPr id="0" name="06_ROC曲线.png"/>
                    <pic:cNvPicPr/>
                  </pic:nvPicPr>
                  <pic:blipFill>
                    <a:blip r:embed="rId25"/>
                    <a:stretch>
                      <a:fillRect/>
                    </a:stretch>
                  </pic:blipFill>
                  <pic:spPr>
                    <a:xfrm>
                      <a:off x="0" y="0"/>
                      <a:ext cx="5400000" cy="3600000"/>
                    </a:xfrm>
                    <a:prstGeom prst="rect"/>
                  </pic:spPr>
                </pic:pic>
              </a:graphicData>
            </a:graphic>
          </wp:inline>
        </w:drawing>
      </w:r>
    </w:p>
    <w:p>
      <w:pPr>
        <w:pStyle w:val="15"/>
        <w:jc w:val="center"/>
        <w:rPr>
          <w:rFonts w:hint="default" w:ascii="Times New Roman" w:hAnsi="Times New Roman" w:eastAsia="宋体" w:cstheme="minorEastAsia"/>
        </w:rPr>
      </w:pPr>
      <w:r>
        <w:rPr>
          <w:rFonts w:hint="default" w:ascii="Times New Roman" w:hAnsi="Times New Roman" w:eastAsia="宋体" w:cstheme="minorEastAsia"/>
        </w:rPr>
        <w:t>图 6  五病种 ROC 曲线</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8 精确率召回率曲线与基线</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PR曲线描述不同阈值下精确率与召回率的关系，图例中的AP为平均精确率。少数发病事件会使曲线阶梯较明显，不能据单个高分推断部署人群中的稳定表现。</w:t>
      </w:r>
    </w:p>
    <w:p>
      <w:pPr>
        <w:keepNext/>
        <w:spacing w:before="120" w:after="40"/>
        <w:jc w:val="center"/>
        <w:rPr>
          <w:rFonts w:hint="default" w:ascii="Times New Roman" w:hAnsi="Times New Roman" w:eastAsia="宋体" w:cstheme="minorEastAsia"/>
        </w:rPr>
      </w:pPr>
      <w:r>
        <w:drawing>
          <wp:inline xmlns:a="http://schemas.openxmlformats.org/drawingml/2006/main" xmlns:pic="http://schemas.openxmlformats.org/drawingml/2006/picture">
            <wp:extent cx="5400000" cy="3600000"/>
            <wp:docPr id="1008" name="Picture 1008" descr="图 7  五病种精确率召回率曲线"/>
            <wp:cNvGraphicFramePr>
              <a:graphicFrameLocks noChangeAspect="1"/>
            </wp:cNvGraphicFramePr>
            <a:graphic>
              <a:graphicData uri="http://schemas.openxmlformats.org/drawingml/2006/picture">
                <pic:pic>
                  <pic:nvPicPr>
                    <pic:cNvPr id="0" name="07_PR曲线.png"/>
                    <pic:cNvPicPr/>
                  </pic:nvPicPr>
                  <pic:blipFill>
                    <a:blip r:embed="rId26"/>
                    <a:stretch>
                      <a:fillRect/>
                    </a:stretch>
                  </pic:blipFill>
                  <pic:spPr>
                    <a:xfrm>
                      <a:off x="0" y="0"/>
                      <a:ext cx="5400000" cy="3600000"/>
                    </a:xfrm>
                    <a:prstGeom prst="rect"/>
                  </pic:spPr>
                </pic:pic>
              </a:graphicData>
            </a:graphic>
          </wp:inline>
        </w:drawing>
      </w:r>
    </w:p>
    <w:p>
      <w:pPr>
        <w:pStyle w:val="15"/>
        <w:jc w:val="center"/>
        <w:rPr>
          <w:rFonts w:hint="default" w:ascii="Times New Roman" w:hAnsi="Times New Roman" w:eastAsia="宋体" w:cstheme="minorEastAsia"/>
        </w:rPr>
      </w:pPr>
      <w:r>
        <w:rPr>
          <w:rFonts w:hint="default" w:ascii="Times New Roman" w:hAnsi="Times New Roman" w:eastAsia="宋体" w:cstheme="minorEastAsia"/>
        </w:rPr>
        <w:t>图 7  五病种精确率召回率曲线</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1701"/>
        <w:gridCol w:w="3402"/>
        <w:gridCol w:w="2267"/>
      </w:tblGrid>
      <w:tr>
        <w:trPr>
          <w:cantSplit/>
          <w:tblHeader/>
        </w:trPr>
        <w:tc>
          <w:tcPr>
            <w:tcW w:w="1984" w:type="dxa"/>
            <w:tcBorders>
              <w:top w:val="single" w:color="000000" w:sz="12" w:space="0"/>
              <w:left w:val="nil"/>
              <w:bottom w:val="single" w:color="000000" w:sz="4" w:space="0"/>
              <w:right w:val="nil"/>
              <w:tl2br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病种</w:t>
            </w:r>
          </w:p>
        </w:tc>
        <w:tc>
          <w:tcPr>
            <w:tcW w:w="1701" w:type="dxa"/>
            <w:tcBorders>
              <w:top w:val="single" w:color="000000" w:sz="12" w:space="0"/>
              <w:left w:val="nil"/>
              <w:bottom w:val="single" w:color="000000" w:sz="4"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发病人数</w:t>
            </w:r>
          </w:p>
        </w:tc>
        <w:tc>
          <w:tcPr>
            <w:tcW w:w="3402" w:type="dxa"/>
            <w:tcBorders>
              <w:top w:val="single" w:color="000000" w:sz="12" w:space="0"/>
              <w:left w:val="nil"/>
              <w:bottom w:val="single" w:color="000000" w:sz="4"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全部预测未发病准确率</w:t>
            </w:r>
          </w:p>
        </w:tc>
        <w:tc>
          <w:tcPr>
            <w:tcW w:w="2267" w:type="dxa"/>
            <w:tcBorders>
              <w:top w:val="single" w:color="000000" w:sz="12" w:space="0"/>
              <w:left w:val="nil"/>
              <w:bottom w:val="single" w:color="000000" w:sz="4"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实验准确率</w:t>
            </w:r>
          </w:p>
        </w:tc>
      </w:tr>
      <w:tr>
        <w:trPr>
          <w:cantSplit/>
        </w:trPr>
        <w:tc>
          <w:tcPr>
            <w:tcW w:w="1984" w:type="dxa"/>
            <w:tcBorders>
              <w:top w:val="single" w:color="000000" w:sz="4" w:space="0"/>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高血压</w:t>
            </w:r>
          </w:p>
        </w:tc>
        <w:tc>
          <w:tcPr>
            <w:tcW w:w="1701" w:type="dxa"/>
            <w:tcBorders>
              <w:top w:val="single" w:color="000000" w:sz="4" w:space="0"/>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13</w:t>
            </w:r>
          </w:p>
        </w:tc>
        <w:tc>
          <w:tcPr>
            <w:tcW w:w="3402" w:type="dxa"/>
            <w:tcBorders>
              <w:top w:val="single" w:color="000000" w:sz="4" w:space="0"/>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92.40%</w:t>
            </w:r>
          </w:p>
        </w:tc>
        <w:tc>
          <w:tcPr>
            <w:tcW w:w="2267" w:type="dxa"/>
            <w:tcBorders>
              <w:top w:val="single" w:color="000000" w:sz="4" w:space="0"/>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97.66%</w:t>
            </w:r>
          </w:p>
        </w:tc>
      </w:tr>
      <w:tr>
        <w:trPr>
          <w:cantSplit/>
        </w:trPr>
        <w:tc>
          <w:tcPr>
            <w:tcW w:w="1984"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糖尿病</w:t>
            </w:r>
          </w:p>
        </w:tc>
        <w:tc>
          <w:tcPr>
            <w:tcW w:w="1701"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6</w:t>
            </w:r>
          </w:p>
        </w:tc>
        <w:tc>
          <w:tcPr>
            <w:tcW w:w="3402"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98.33%</w:t>
            </w:r>
          </w:p>
        </w:tc>
        <w:tc>
          <w:tcPr>
            <w:tcW w:w="2267"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99.44%</w:t>
            </w:r>
          </w:p>
        </w:tc>
      </w:tr>
      <w:tr>
        <w:trPr>
          <w:cantSplit/>
        </w:trPr>
        <w:tc>
          <w:tcPr>
            <w:tcW w:w="1984"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卒中</w:t>
            </w:r>
          </w:p>
        </w:tc>
        <w:tc>
          <w:tcPr>
            <w:tcW w:w="1701"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14</w:t>
            </w:r>
          </w:p>
        </w:tc>
        <w:tc>
          <w:tcPr>
            <w:tcW w:w="3402"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96.17%</w:t>
            </w:r>
          </w:p>
        </w:tc>
        <w:tc>
          <w:tcPr>
            <w:tcW w:w="2267"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98.91%</w:t>
            </w:r>
          </w:p>
        </w:tc>
      </w:tr>
      <w:tr>
        <w:trPr>
          <w:cantSplit/>
        </w:trPr>
        <w:tc>
          <w:tcPr>
            <w:tcW w:w="1984"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心脏病发作</w:t>
            </w:r>
          </w:p>
        </w:tc>
        <w:tc>
          <w:tcPr>
            <w:tcW w:w="1701"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13</w:t>
            </w:r>
          </w:p>
        </w:tc>
        <w:tc>
          <w:tcPr>
            <w:tcW w:w="3402"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96.22%</w:t>
            </w:r>
          </w:p>
        </w:tc>
        <w:tc>
          <w:tcPr>
            <w:tcW w:w="2267" w:type="dxa"/>
            <w:tcBorders>
              <w:top w:val="nil"/>
              <w:left w:val="nil"/>
              <w:bottom w:val="nil"/>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99.13%</w:t>
            </w:r>
          </w:p>
        </w:tc>
      </w:tr>
      <w:tr>
        <w:trPr>
          <w:cantSplit/>
        </w:trPr>
        <w:tc>
          <w:tcPr>
            <w:tcW w:w="1984" w:type="dxa"/>
            <w:tcBorders>
              <w:top w:val="nil"/>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骨质疏松</w:t>
            </w:r>
          </w:p>
        </w:tc>
        <w:tc>
          <w:tcPr>
            <w:tcW w:w="1701" w:type="dxa"/>
            <w:tcBorders>
              <w:top w:val="nil"/>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11</w:t>
            </w:r>
          </w:p>
        </w:tc>
        <w:tc>
          <w:tcPr>
            <w:tcW w:w="3402" w:type="dxa"/>
            <w:tcBorders>
              <w:top w:val="nil"/>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97.00%</w:t>
            </w:r>
          </w:p>
        </w:tc>
        <w:tc>
          <w:tcPr>
            <w:tcW w:w="2267" w:type="dxa"/>
            <w:tcBorders>
              <w:top w:val="nil"/>
              <w:left w:val="nil"/>
              <w:bottom w:val="single" w:color="000000" w:sz="12" w:space="0"/>
              <w:right w:val="nil"/>
            </w:tcBorders>
            <w:shd w:val="clear" w:color="auto" w:fill="FFFFFF"/>
            <w:vAlign w:val="center"/>
          </w:tcPr>
          <w:p>
            <w:pPr>
              <w:spacing w:before="0" w:after="0"/>
              <w:jc w:val="center"/>
              <w:rPr>
                <w:rFonts w:hint="eastAsia" w:ascii="宋体" w:hAnsi="宋体" w:eastAsia="宋体" w:cs="宋体"/>
                <w:b w:val="0"/>
                <w:sz w:val="24"/>
                <w:szCs w:val="24"/>
              </w:rPr>
            </w:pPr>
            <w:r>
              <w:rPr>
                <w:rFonts w:hint="eastAsia" w:ascii="宋体" w:hAnsi="宋体" w:eastAsia="宋体" w:cs="宋体"/>
                <w:b w:val="0"/>
                <w:sz w:val="24"/>
                <w:szCs w:val="24"/>
              </w:rPr>
              <w:t>99.18%</w:t>
            </w:r>
          </w:p>
        </w:tc>
      </w:tr>
    </w:tbl>
    <w:p>
      <w:pPr>
        <w:spacing w:after="20"/>
        <w:rPr>
          <w:rFonts w:hint="default" w:ascii="Times New Roman" w:hAnsi="Times New Roman" w:eastAsia="宋体" w:cstheme="minorEastAsia"/>
          <w:sz w:val="24"/>
          <w:szCs w:val="24"/>
        </w:rPr>
      </w:pP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糖尿病评估集只有6名发病者，把所有人都预测为未发病也有98.33%的准确率。因此本报告同时列出全阴性基线、召回率、精确率和混淆矩阵；不能仅凭99%左右的准确率判断模型有效。</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完整实验输出还保存特异度、阴性预测值、MCC、Brier分数、对数损失和逐类分类报告。这些指标可从同一批逐人预测复算，未人工修改标签或填写目标分数。</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9 五病种混淆矩阵</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矩阵行为实际结果、列为预测结果。单元格给出人数和该真实类别内的百分比，便于同时检查误报和漏报；下列矩阵对应本报告的实验评估范围。</w:t>
      </w:r>
    </w:p>
    <w:p>
      <w:pPr>
        <w:keepNext/>
        <w:spacing w:before="120" w:after="40"/>
        <w:jc w:val="center"/>
        <w:rPr>
          <w:rFonts w:hint="default" w:ascii="Times New Roman" w:hAnsi="Times New Roman" w:eastAsia="宋体" w:cstheme="minorEastAsia"/>
        </w:rPr>
      </w:pPr>
      <w:r>
        <w:drawing>
          <wp:inline xmlns:a="http://schemas.openxmlformats.org/drawingml/2006/main" xmlns:pic="http://schemas.openxmlformats.org/drawingml/2006/picture" distT="0" distB="0" distL="0" distR="0">
            <wp:extent cx="2664000" cy="2892343"/>
            <wp:effectExtent l="0" t="0" r="0" b="0"/>
            <wp:docPr id="1009" name="Picture 1009" descr="图 8  高血压混淆矩阵"/>
            <wp:cNvGraphicFramePr>
              <a:graphicFrameLocks noChangeAspect="1"/>
            </wp:cNvGraphicFramePr>
            <a:graphic>
              <a:graphicData uri="http://schemas.openxmlformats.org/drawingml/2006/picture">
                <pic:pic>
                  <pic:nvPicPr>
                    <pic:cNvPr id="0" name="08_高血压混淆矩阵.png"/>
                    <pic:cNvPicPr/>
                  </pic:nvPicPr>
                  <pic:blipFill>
                    <a:blip r:embed="rId27"/>
                    <a:stretch>
                      <a:fillRect/>
                    </a:stretch>
                  </pic:blipFill>
                  <pic:spPr>
                    <a:xfrm>
                      <a:off x="0" y="0"/>
                      <a:ext cx="2664000" cy="2892343"/>
                    </a:xfrm>
                    <a:prstGeom prst="rect"/>
                  </pic:spPr>
                </pic:pic>
              </a:graphicData>
            </a:graphic>
          </wp:inline>
        </w:drawing>
      </w:r>
      <w:r>
        <w:t xml:space="preserve">  </w:t>
      </w:r>
      <w:r>
        <w:drawing>
          <wp:inline xmlns:a="http://schemas.openxmlformats.org/drawingml/2006/main" xmlns:pic="http://schemas.openxmlformats.org/drawingml/2006/picture" distT="0" distB="0" distL="0" distR="0">
            <wp:extent cx="2664000" cy="2892343"/>
            <wp:effectExtent l="0" t="0" r="0" b="0"/>
            <wp:docPr id="1010" name="Picture 1010" descr="图 9  糖尿病混淆矩阵"/>
            <wp:cNvGraphicFramePr>
              <a:graphicFrameLocks noChangeAspect="1"/>
            </wp:cNvGraphicFramePr>
            <a:graphic>
              <a:graphicData uri="http://schemas.openxmlformats.org/drawingml/2006/picture">
                <pic:pic>
                  <pic:nvPicPr>
                    <pic:cNvPr id="0" name="09_糖尿病混淆矩阵.png"/>
                    <pic:cNvPicPr/>
                  </pic:nvPicPr>
                  <pic:blipFill>
                    <a:blip r:embed="rId28"/>
                    <a:stretch>
                      <a:fillRect/>
                    </a:stretch>
                  </pic:blipFill>
                  <pic:spPr>
                    <a:xfrm>
                      <a:off x="0" y="0"/>
                      <a:ext cx="2664000" cy="2892343"/>
                    </a:xfrm>
                    <a:prstGeom prst="rect"/>
                  </pic:spPr>
                </pic:pic>
              </a:graphicData>
            </a:graphic>
          </wp:inline>
        </w:drawing>
      </w:r>
    </w:p>
    <w:p>
      <w:pPr>
        <w:pStyle w:val="15"/>
        <w:jc w:val="center"/>
        <w:rPr>
          <w:rFonts w:hint="default" w:ascii="Times New Roman" w:hAnsi="Times New Roman" w:eastAsia="宋体" w:cstheme="minorEastAsia"/>
        </w:rPr>
      </w:pPr>
      <w:r>
        <w:rPr>
          <w:rFonts w:hint="default" w:ascii="Times New Roman" w:hAnsi="Times New Roman" w:eastAsia="宋体" w:cstheme="minorEastAsia"/>
        </w:rPr>
        <w:t>图 8  高血压混淆矩阵    图 9  糖尿病混淆矩阵</w:t>
      </w:r>
    </w:p>
    <w:p>
      <w:pPr>
        <w:keepNext/>
        <w:spacing w:before="120" w:after="40"/>
        <w:jc w:val="center"/>
        <w:rPr>
          <w:rFonts w:hint="default" w:ascii="Times New Roman" w:hAnsi="Times New Roman" w:eastAsia="宋体" w:cstheme="minorEastAsia"/>
        </w:rPr>
      </w:pPr>
      <w:r>
        <w:drawing>
          <wp:inline xmlns:a="http://schemas.openxmlformats.org/drawingml/2006/main" xmlns:pic="http://schemas.openxmlformats.org/drawingml/2006/picture" distT="0" distB="0" distL="0" distR="0">
            <wp:extent cx="2664000" cy="2892343"/>
            <wp:effectExtent l="0" t="0" r="0" b="0"/>
            <wp:docPr id="1011" name="Picture 1011" descr="图 10  卒中混淆矩阵"/>
            <wp:cNvGraphicFramePr>
              <a:graphicFrameLocks noChangeAspect="1"/>
            </wp:cNvGraphicFramePr>
            <a:graphic>
              <a:graphicData uri="http://schemas.openxmlformats.org/drawingml/2006/picture">
                <pic:pic>
                  <pic:nvPicPr>
                    <pic:cNvPr id="0" name="10_卒中混淆矩阵.png"/>
                    <pic:cNvPicPr/>
                  </pic:nvPicPr>
                  <pic:blipFill>
                    <a:blip r:embed="rId29"/>
                    <a:stretch>
                      <a:fillRect/>
                    </a:stretch>
                  </pic:blipFill>
                  <pic:spPr>
                    <a:xfrm>
                      <a:off x="0" y="0"/>
                      <a:ext cx="2664000" cy="2892343"/>
                    </a:xfrm>
                    <a:prstGeom prst="rect"/>
                  </pic:spPr>
                </pic:pic>
              </a:graphicData>
            </a:graphic>
          </wp:inline>
        </w:drawing>
      </w:r>
      <w:r>
        <w:t xml:space="preserve">  </w:t>
      </w:r>
      <w:r>
        <w:drawing>
          <wp:inline xmlns:a="http://schemas.openxmlformats.org/drawingml/2006/main" xmlns:pic="http://schemas.openxmlformats.org/drawingml/2006/picture" distT="0" distB="0" distL="0" distR="0">
            <wp:extent cx="2664000" cy="2892343"/>
            <wp:effectExtent l="0" t="0" r="0" b="0"/>
            <wp:docPr id="1012" name="Picture 1012" descr="图 11  心脏病发作混淆矩阵"/>
            <wp:cNvGraphicFramePr>
              <a:graphicFrameLocks noChangeAspect="1"/>
            </wp:cNvGraphicFramePr>
            <a:graphic>
              <a:graphicData uri="http://schemas.openxmlformats.org/drawingml/2006/picture">
                <pic:pic>
                  <pic:nvPicPr>
                    <pic:cNvPr id="0" name="11_心脏病发作混淆矩阵.png"/>
                    <pic:cNvPicPr/>
                  </pic:nvPicPr>
                  <pic:blipFill>
                    <a:blip r:embed="rId30"/>
                    <a:stretch>
                      <a:fillRect/>
                    </a:stretch>
                  </pic:blipFill>
                  <pic:spPr>
                    <a:xfrm>
                      <a:off x="0" y="0"/>
                      <a:ext cx="2664000" cy="2892343"/>
                    </a:xfrm>
                    <a:prstGeom prst="rect"/>
                  </pic:spPr>
                </pic:pic>
              </a:graphicData>
            </a:graphic>
          </wp:inline>
        </w:drawing>
      </w:r>
    </w:p>
    <w:p>
      <w:pPr>
        <w:pStyle w:val="15"/>
        <w:jc w:val="center"/>
        <w:rPr>
          <w:rFonts w:hint="default" w:ascii="Times New Roman" w:hAnsi="Times New Roman" w:eastAsia="宋体" w:cstheme="minorEastAsia"/>
        </w:rPr>
      </w:pPr>
      <w:r>
        <w:rPr>
          <w:rFonts w:hint="default" w:ascii="Times New Roman" w:hAnsi="Times New Roman" w:eastAsia="宋体" w:cstheme="minorEastAsia"/>
        </w:rPr>
        <w:t>图 10  卒中混淆矩阵    图 11  心脏病发作混淆矩阵</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高血压识别10例、漏掉3例，另有1例误报；糖尿病识别4例、漏掉2例。卒中和心脏病发作分别识别10例，仍各有4例与3例漏报。</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10 混淆矩阵计数与结果解释</w:t>
      </w:r>
    </w:p>
    <w:p>
      <w:pPr>
        <w:keepNext/>
        <w:spacing w:before="120" w:after="40"/>
        <w:jc w:val="center"/>
        <w:rPr>
          <w:rFonts w:hint="default" w:ascii="Times New Roman" w:hAnsi="Times New Roman" w:eastAsia="宋体" w:cstheme="minorEastAsia"/>
        </w:rPr>
      </w:pPr>
      <w:r>
        <w:drawing>
          <wp:inline xmlns:a="http://schemas.openxmlformats.org/drawingml/2006/main" xmlns:pic="http://schemas.openxmlformats.org/drawingml/2006/picture">
            <wp:extent cx="3168000" cy="3439543"/>
            <wp:docPr id="1013" name="Picture 1013" descr="图 12  骨质疏松混淆矩阵"/>
            <wp:cNvGraphicFramePr>
              <a:graphicFrameLocks noChangeAspect="1"/>
            </wp:cNvGraphicFramePr>
            <a:graphic>
              <a:graphicData uri="http://schemas.openxmlformats.org/drawingml/2006/picture">
                <pic:pic>
                  <pic:nvPicPr>
                    <pic:cNvPr id="0" name="12_骨质疏松混淆矩阵.png"/>
                    <pic:cNvPicPr/>
                  </pic:nvPicPr>
                  <pic:blipFill>
                    <a:blip r:embed="rId31"/>
                    <a:stretch>
                      <a:fillRect/>
                    </a:stretch>
                  </pic:blipFill>
                  <pic:spPr>
                    <a:xfrm>
                      <a:off x="0" y="0"/>
                      <a:ext cx="3168000" cy="3439543"/>
                    </a:xfrm>
                    <a:prstGeom prst="rect"/>
                  </pic:spPr>
                </pic:pic>
              </a:graphicData>
            </a:graphic>
          </wp:inline>
        </w:drawing>
      </w:r>
    </w:p>
    <w:p>
      <w:pPr>
        <w:pStyle w:val="15"/>
        <w:jc w:val="center"/>
        <w:rPr>
          <w:rFonts w:hint="default" w:ascii="Times New Roman" w:hAnsi="Times New Roman" w:eastAsia="宋体" w:cstheme="minorEastAsia"/>
        </w:rPr>
      </w:pPr>
      <w:r>
        <w:rPr>
          <w:rFonts w:hint="default" w:ascii="Times New Roman" w:hAnsi="Times New Roman" w:eastAsia="宋体" w:cstheme="minorEastAsia"/>
        </w:rPr>
        <w:t>图 12  骨质疏松混淆矩阵</w:t>
      </w:r>
    </w:p>
    <w:tbl>
      <w:tblPr>
        <w:tblStyle w:val="33"/>
        <w:tblW w:w="0" w:type="auto"/>
        <w:tblInd w:w="0" w:type="dxa"/>
        <w:tblLayout w:type="fixed"/>
        <w:tblCellMar>
          <w:top w:w="0" w:type="dxa"/>
          <w:left w:w="108" w:type="dxa"/>
          <w:bottom w:w="0" w:type="dxa"/>
          <w:right w:w="108" w:type="dxa"/>
        </w:tblCellMar>
      </w:tblPr>
      <w:tblGrid>
        <w:gridCol w:w="1870"/>
        <w:gridCol w:w="1870"/>
        <w:gridCol w:w="1870"/>
        <w:gridCol w:w="1870"/>
        <w:gridCol w:w="1874"/>
      </w:tblGrid>
      <w:tr>
        <w:trPr>
          <w:cantSplit/>
          <w:tblHeader/>
        </w:trPr>
        <w:tc>
          <w:tcPr>
            <w:tcW w:w="1870" w:type="dxa"/>
            <w:tcBorders>
              <w:top w:val="single" w:color="000000" w:sz="12" w:space="0"/>
              <w:left w:val="nil"/>
              <w:bottom w:val="single" w:color="000000" w:sz="4" w:space="0"/>
              <w:right w:val="nil"/>
              <w:tl2br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病种</w:t>
            </w:r>
          </w:p>
        </w:tc>
        <w:tc>
          <w:tcPr>
            <w:tcW w:w="187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正确未发病</w:t>
            </w:r>
          </w:p>
        </w:tc>
        <w:tc>
          <w:tcPr>
            <w:tcW w:w="187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误报</w:t>
            </w:r>
          </w:p>
        </w:tc>
        <w:tc>
          <w:tcPr>
            <w:tcW w:w="187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漏报</w:t>
            </w:r>
          </w:p>
        </w:tc>
        <w:tc>
          <w:tcPr>
            <w:tcW w:w="1874"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正确发病</w:t>
            </w:r>
          </w:p>
        </w:tc>
      </w:tr>
      <w:tr>
        <w:trPr>
          <w:cantSplit/>
        </w:trPr>
        <w:tc>
          <w:tcPr>
            <w:tcW w:w="187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高血压</w:t>
            </w:r>
          </w:p>
        </w:tc>
        <w:tc>
          <w:tcPr>
            <w:tcW w:w="187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157</w:t>
            </w:r>
          </w:p>
        </w:tc>
        <w:tc>
          <w:tcPr>
            <w:tcW w:w="187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1</w:t>
            </w:r>
          </w:p>
        </w:tc>
        <w:tc>
          <w:tcPr>
            <w:tcW w:w="187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3</w:t>
            </w:r>
          </w:p>
        </w:tc>
        <w:tc>
          <w:tcPr>
            <w:tcW w:w="1874"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10</w:t>
            </w:r>
          </w:p>
        </w:tc>
      </w:tr>
      <w:tr>
        <w:trPr>
          <w:cantSplit/>
        </w:trPr>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糖尿病</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354</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0</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2</w:t>
            </w:r>
          </w:p>
        </w:tc>
        <w:tc>
          <w:tcPr>
            <w:tcW w:w="1874"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4</w:t>
            </w:r>
          </w:p>
        </w:tc>
      </w:tr>
      <w:tr>
        <w:trPr>
          <w:cantSplit/>
        </w:trPr>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卒中</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352</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0</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4</w:t>
            </w:r>
          </w:p>
        </w:tc>
        <w:tc>
          <w:tcPr>
            <w:tcW w:w="1874"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10</w:t>
            </w:r>
          </w:p>
        </w:tc>
      </w:tr>
      <w:tr>
        <w:trPr>
          <w:cantSplit/>
        </w:trPr>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心脏病发作</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331</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0</w:t>
            </w:r>
          </w:p>
        </w:tc>
        <w:tc>
          <w:tcPr>
            <w:tcW w:w="1870"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3</w:t>
            </w:r>
          </w:p>
        </w:tc>
        <w:tc>
          <w:tcPr>
            <w:tcW w:w="1874"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10</w:t>
            </w:r>
          </w:p>
        </w:tc>
      </w:tr>
      <w:tr>
        <w:trPr>
          <w:cantSplit/>
        </w:trPr>
        <w:tc>
          <w:tcPr>
            <w:tcW w:w="187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骨质疏松</w:t>
            </w:r>
          </w:p>
        </w:tc>
        <w:tc>
          <w:tcPr>
            <w:tcW w:w="187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356</w:t>
            </w:r>
          </w:p>
        </w:tc>
        <w:tc>
          <w:tcPr>
            <w:tcW w:w="187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0</w:t>
            </w:r>
          </w:p>
        </w:tc>
        <w:tc>
          <w:tcPr>
            <w:tcW w:w="187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3</w:t>
            </w:r>
          </w:p>
        </w:tc>
        <w:tc>
          <w:tcPr>
            <w:tcW w:w="1874"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8</w:t>
            </w:r>
          </w:p>
        </w:tc>
      </w:tr>
    </w:tbl>
    <w:p>
      <w:pPr>
        <w:spacing w:after="20"/>
        <w:rPr>
          <w:rFonts w:hint="default" w:ascii="Times New Roman" w:hAnsi="Times New Roman" w:eastAsia="宋体" w:cstheme="minorEastAsia"/>
          <w:sz w:val="24"/>
          <w:szCs w:val="24"/>
        </w:rPr>
      </w:pP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骨质疏松共11名发病者，识别8名、漏掉3名。不同病种事件数量不同，不宜只按一个总体平均分判断所有任务都达到同样效果。以上计数与图片、指标JSON及逐人预测一致。</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原实验另保留只统计未参加对应模型拟合成员的评估：每病仅有2至4例发病，在原0.5阈值下五病种召回率均为0。这个对照表明，全部评估人员中的高分包含对训练成员的识别效果，不能解释为对新老人的同等预测能力。</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改进时需要新增未参与开发的社区随访数据，增加阳性事件，并在开发部分确定阈值后再作独立评价。风险概率还需要结合目标人群发生率检查校准。当前文档保留实际结果，不以修改统计分数替代模型改进。</w:t>
      </w:r>
    </w:p>
    <w:p>
      <w:pPr>
        <w:pStyle w:val="3"/>
        <w:rPr>
          <w:rFonts w:hint="default" w:ascii="Times New Roman" w:hAnsi="Times New Roman" w:eastAsia="宋体" w:cstheme="minorEastAsia"/>
        </w:rPr>
      </w:pPr>
      <w:r>
        <w:rPr>
          <w:rFonts w:hint="default" w:ascii="Times New Roman" w:hAnsi="Times New Roman" w:eastAsia="宋体" w:cstheme="minorEastAsia"/>
        </w:rPr>
        <w:t>三 界面设计与使用流程</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1 模块职责与联合数据流</w:t>
      </w:r>
    </w:p>
    <w:tbl>
      <w:tblPr>
        <w:tblStyle w:val="33"/>
        <w:tblW w:w="0" w:type="auto"/>
        <w:tblInd w:w="0" w:type="dxa"/>
        <w:tblLayout w:type="fixed"/>
        <w:tblCellMar>
          <w:top w:w="0" w:type="dxa"/>
          <w:left w:w="108" w:type="dxa"/>
          <w:bottom w:w="0" w:type="dxa"/>
          <w:right w:w="108" w:type="dxa"/>
        </w:tblCellMar>
      </w:tblPr>
      <w:tblGrid>
        <w:gridCol w:w="4677"/>
        <w:gridCol w:w="4677"/>
      </w:tblGrid>
      <w:tr>
        <w:trPr>
          <w:cantSplit/>
          <w:tblHeader/>
        </w:trPr>
        <w:tc>
          <w:tcPr>
            <w:tcW w:w="4677" w:type="dxa"/>
            <w:tcBorders>
              <w:top w:val="single" w:color="000000" w:sz="12" w:space="0"/>
              <w:left w:val="nil"/>
              <w:bottom w:val="single" w:color="000000" w:sz="4" w:space="0"/>
              <w:right w:val="nil"/>
              <w:tl2br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组成</w:t>
            </w:r>
          </w:p>
        </w:tc>
        <w:tc>
          <w:tcPr>
            <w:tcW w:w="4677"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当前职责</w:t>
            </w:r>
          </w:p>
        </w:tc>
      </w:tr>
      <w:tr>
        <w:trPr>
          <w:cantSplit/>
        </w:trPr>
        <w:tc>
          <w:tcPr>
            <w:tcW w:w="4677"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Vue 用户界面</w:t>
            </w:r>
          </w:p>
        </w:tc>
        <w:tc>
          <w:tcPr>
            <w:tcW w:w="4677"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显示一张健康汇总表，提交联合预测，展示结果、测量趋势与历史快照。</w:t>
            </w:r>
          </w:p>
        </w:tc>
      </w:tr>
      <w:tr>
        <w:trPr>
          <w:cantSplit/>
        </w:trPr>
        <w:tc>
          <w:tcPr>
            <w:tcW w:w="4677"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Spring Boot 后端</w:t>
            </w:r>
          </w:p>
        </w:tc>
        <w:tc>
          <w:tcPr>
            <w:tcW w:w="4677"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校验登录角色、保存档案和测量、生成幂等请求、调用模型、保存结果并按权限查询。</w:t>
            </w:r>
          </w:p>
        </w:tc>
      </w:tr>
      <w:tr>
        <w:trPr>
          <w:cantSplit/>
        </w:trPr>
        <w:tc>
          <w:tcPr>
            <w:tcW w:w="4677"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Python 联合推理</w:t>
            </w:r>
          </w:p>
        </w:tc>
        <w:tc>
          <w:tcPr>
            <w:tcW w:w="4677"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一个进程加载一个个性化模型和五个慢性病模型，分别使用各自处理器、特征和阈值。</w:t>
            </w:r>
          </w:p>
        </w:tc>
      </w:tr>
      <w:tr>
        <w:trPr>
          <w:cantSplit/>
        </w:trPr>
        <w:tc>
          <w:tcPr>
            <w:tcW w:w="4677"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MySQL 或 H2</w:t>
            </w:r>
          </w:p>
        </w:tc>
        <w:tc>
          <w:tcPr>
            <w:tcW w:w="4677"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保存用户资料、测量、医患咨询关联、两类预测记录及其输入快照。</w:t>
            </w:r>
          </w:p>
        </w:tc>
      </w:tr>
    </w:tbl>
    <w:p>
      <w:pPr>
        <w:spacing w:after="20"/>
        <w:rPr>
          <w:rFonts w:hint="default" w:ascii="Times New Roman" w:hAnsi="Times New Roman" w:eastAsia="宋体" w:cstheme="minorEastAsia"/>
          <w:sz w:val="24"/>
          <w:szCs w:val="24"/>
        </w:rPr>
      </w:pP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用户提交汇总表后，两类任务独立校验。个性化任务使用基础资料、本次测量和既往记录；慢性病任务使用健康生活资料与五项病史。成功的评估写入数据库，同页显示；其中一类资料不全或服务失败时，另一类仍可完成，不把失败状态写成低风险。</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2 六个模型随 Java 后端启动</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日常启动后端即可自动拉起本地 Python 联合推理进程，使用 chronic-disease/.venv 的依赖环境，内部监听8001端口；无需再单独开启模型终端，也无需另起8002。前端监听21091端口，Java后端监听21090端口。</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后端检查个性化模型与五个慢性病模型的就绪状态和版本。兼容的既有服务可以复用；后端自行启动的推理进程在关闭时清理，异常退出时尝试恢复。模型加载失败时可继续查看历史，预测接口返回明确错误。</w:t>
      </w:r>
    </w:p>
    <w:tbl>
      <w:tblPr>
        <w:tblStyle w:val="33"/>
        <w:tblW w:w="0" w:type="auto"/>
        <w:tblInd w:w="0" w:type="dxa"/>
        <w:tblLayout w:type="fixed"/>
        <w:tblCellMar>
          <w:top w:w="0" w:type="dxa"/>
          <w:left w:w="108" w:type="dxa"/>
          <w:bottom w:w="0" w:type="dxa"/>
          <w:right w:w="108" w:type="dxa"/>
        </w:tblCellMar>
      </w:tblPr>
      <w:tblGrid>
        <w:gridCol w:w="4677"/>
        <w:gridCol w:w="4677"/>
      </w:tblGrid>
      <w:tr>
        <w:trPr>
          <w:cantSplit/>
          <w:tblHeader/>
        </w:trPr>
        <w:tc>
          <w:tcPr>
            <w:tcW w:w="4677" w:type="dxa"/>
            <w:tcBorders>
              <w:top w:val="single" w:color="000000" w:sz="12" w:space="0"/>
              <w:left w:val="nil"/>
              <w:bottom w:val="single" w:color="000000" w:sz="4" w:space="0"/>
              <w:right w:val="nil"/>
              <w:tl2br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使用方式</w:t>
            </w:r>
          </w:p>
        </w:tc>
        <w:tc>
          <w:tcPr>
            <w:tcW w:w="4677"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操作</w:t>
            </w:r>
          </w:p>
        </w:tc>
      </w:tr>
      <w:tr>
        <w:trPr>
          <w:cantSplit/>
        </w:trPr>
        <w:tc>
          <w:tcPr>
            <w:tcW w:w="4677"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H2 演示</w:t>
            </w:r>
          </w:p>
        </w:tc>
        <w:tc>
          <w:tcPr>
            <w:tcW w:w="4677"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先运行03_start_demo_backend.bat，再运行04_start_demo_frontend.bat；首次准备Python模型依赖。</w:t>
            </w:r>
          </w:p>
        </w:tc>
      </w:tr>
      <w:tr>
        <w:trPr>
          <w:cantSplit/>
        </w:trPr>
        <w:tc>
          <w:tcPr>
            <w:tcW w:w="4677"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本机 MySQL</w:t>
            </w:r>
          </w:p>
        </w:tc>
        <w:tc>
          <w:tcPr>
            <w:tcW w:w="4677"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启动MySQL80，使用本机数据库配置；以mysql配置运行Java后端，再启动前端。</w:t>
            </w:r>
          </w:p>
        </w:tc>
      </w:tr>
      <w:tr>
        <w:trPr>
          <w:cantSplit/>
        </w:trPr>
        <w:tc>
          <w:tcPr>
            <w:tcW w:w="4677"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访问入口</w:t>
            </w:r>
          </w:p>
        </w:tc>
        <w:tc>
          <w:tcPr>
            <w:tcW w:w="4677"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浏览器打开 http://localhost:21091/health-assessment，登录后填写资料并预测。</w:t>
            </w:r>
          </w:p>
        </w:tc>
      </w:tr>
      <w:tr>
        <w:trPr>
          <w:cantSplit/>
        </w:trPr>
        <w:tc>
          <w:tcPr>
            <w:tcW w:w="4677"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故障检查</w:t>
            </w:r>
          </w:p>
        </w:tc>
        <w:tc>
          <w:tcPr>
            <w:tcW w:w="4677"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查看模型就绪提示及 IHMS-admin/logs/model-runtime.log，确认数据库、Python环境和权重版本。</w:t>
            </w:r>
          </w:p>
        </w:tc>
      </w:tr>
    </w:tbl>
    <w:p>
      <w:pPr>
        <w:spacing w:after="20"/>
        <w:rPr>
          <w:rFonts w:hint="default" w:ascii="Times New Roman" w:hAnsi="Times New Roman" w:eastAsia="宋体" w:cstheme="minorEastAsia"/>
          <w:sz w:val="24"/>
          <w:szCs w:val="24"/>
        </w:rPr>
      </w:pP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3 版本更新与日常推理</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启动系统只是加载已有权重，不会重新训练。慢性病线上版本固定为优化版；本报告图表使用的ExtraTrees权重仍保存在独立实验目录。只有明确调整加载版本、检查接口契约并重启加载后，网页预测才会切换，图表重绘和文档生成均不触发切换。</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4 老人端统一汇总表</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老人进入“健康风险评估”后，依次填写健康资料、五项疾病史和本次生理测量。所有字段直接展示，必填与选填逐项标注；不需要在个性化页面和慢性病页面之间重复填写。</w:t>
      </w:r>
    </w:p>
    <w:tbl>
      <w:tblPr>
        <w:tblStyle w:val="33"/>
        <w:tblW w:w="0" w:type="auto"/>
        <w:tblInd w:w="0" w:type="dxa"/>
        <w:tblLayout w:type="fixed"/>
        <w:tblCellMar>
          <w:top w:w="0" w:type="dxa"/>
          <w:left w:w="108" w:type="dxa"/>
          <w:bottom w:w="0" w:type="dxa"/>
          <w:right w:w="108" w:type="dxa"/>
        </w:tblCellMar>
      </w:tblPr>
      <w:tblGrid>
        <w:gridCol w:w="3118"/>
        <w:gridCol w:w="3118"/>
        <w:gridCol w:w="3118"/>
      </w:tblGrid>
      <w:tr>
        <w:trPr>
          <w:cantSplit/>
          <w:tblHeader/>
        </w:trPr>
        <w:tc>
          <w:tcPr>
            <w:tcW w:w="3118" w:type="dxa"/>
            <w:tcBorders>
              <w:top w:val="single" w:color="000000" w:sz="12" w:space="0"/>
              <w:left w:val="nil"/>
              <w:bottom w:val="single" w:color="000000" w:sz="4" w:space="0"/>
              <w:right w:val="nil"/>
              <w:tl2br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区域</w:t>
            </w:r>
          </w:p>
        </w:tc>
        <w:tc>
          <w:tcPr>
            <w:tcW w:w="3118"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填写要求</w:t>
            </w:r>
          </w:p>
        </w:tc>
        <w:tc>
          <w:tcPr>
            <w:tcW w:w="3118"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预测时的处理</w:t>
            </w:r>
          </w:p>
        </w:tc>
      </w:tr>
      <w:tr>
        <w:trPr>
          <w:cantSplit/>
        </w:trPr>
        <w:tc>
          <w:tcPr>
            <w:tcW w:w="3118"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基础资料</w:t>
            </w:r>
          </w:p>
        </w:tc>
        <w:tc>
          <w:tcPr>
            <w:tcW w:w="3118"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年龄、性别必填；BMI为个性化任务必填</w:t>
            </w:r>
          </w:p>
        </w:tc>
        <w:tc>
          <w:tcPr>
            <w:tcW w:w="3118"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共用年龄和性别，BMI与体重分别使用</w:t>
            </w:r>
          </w:p>
        </w:tc>
      </w:tr>
      <w:tr>
        <w:trPr>
          <w:cantSplit/>
        </w:trPr>
        <w:tc>
          <w:tcPr>
            <w:tcW w:w="3118"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健康生活资料</w:t>
            </w:r>
          </w:p>
        </w:tc>
        <w:tc>
          <w:tcPr>
            <w:tcW w:w="3118"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体重、自评健康、吸烟、饮酒、运动五项至少填两项；附加项可选</w:t>
            </w:r>
          </w:p>
        </w:tc>
        <w:tc>
          <w:tcPr>
            <w:tcW w:w="3118"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未知保持缺失，不自动填成健康或否</w:t>
            </w:r>
          </w:p>
        </w:tc>
      </w:tr>
      <w:tr>
        <w:trPr>
          <w:cantSplit/>
        </w:trPr>
        <w:tc>
          <w:tcPr>
            <w:tcW w:w="3118"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五项疾病史</w:t>
            </w:r>
          </w:p>
        </w:tc>
        <w:tc>
          <w:tcPr>
            <w:tcW w:w="3118"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对应病种预测前明确有或无；未知可以保存</w:t>
            </w:r>
          </w:p>
        </w:tc>
        <w:tc>
          <w:tcPr>
            <w:tcW w:w="3118"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有病史跳过首次预测；未知提示资料不足</w:t>
            </w:r>
          </w:p>
        </w:tc>
      </w:tr>
      <w:tr>
        <w:trPr>
          <w:cantSplit/>
        </w:trPr>
        <w:tc>
          <w:tcPr>
            <w:tcW w:w="311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本次生理测量</w:t>
            </w:r>
          </w:p>
        </w:tc>
        <w:tc>
          <w:tcPr>
            <w:tcW w:w="311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六项至少填写一项实测值，未测项留空</w:t>
            </w:r>
          </w:p>
        </w:tc>
        <w:tc>
          <w:tcPr>
            <w:tcW w:w="311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保留实测记录，缺失输入只在模型内部处理</w:t>
            </w:r>
          </w:p>
        </w:tc>
      </w:tr>
    </w:tbl>
    <w:p>
      <w:pPr>
        <w:spacing w:after="20"/>
        <w:rPr>
          <w:rFonts w:hint="default" w:ascii="Times New Roman" w:hAnsi="Times New Roman" w:eastAsia="宋体" w:cstheme="minorEastAsia"/>
          <w:sz w:val="24"/>
          <w:szCs w:val="24"/>
        </w:rPr>
      </w:pP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5 一个按钮保存并联合预测</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点击“保存并联合预测”后，系统按两类任务分别保存和评估。同一页展示个性化风险等级、原因、单项警报、近期测量趋势，以及五病种的概率、是否达到阈值或跳过原因。无需分别点击六个模型的预测按钮。</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每种评估通过requestId去重。请求结果不明确时，重试相同请求不会重复保存同一评估；用户修改输入后可形成新的评估。历史列表支持分页查看及当次输入快照，使医生能够看到结果产生时的资料，而不只是用户最新修改后的档案。</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6 模拟手环上传与缺测反馈</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“本次生理测量”区域明确说明模拟智能手环上传过程。当前通过表单手动录入收缩压、舒张压、心率、血氧、体温和呼吸频率，保存后参与联合预测与趋势记录，尚未连接真实手环。</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当本次缺少某项生理测量时，个性化任务可参考评估前24小时的真实记录；仍缺失时使用随模型保存的处理方法。补全值不会被展示为本次真实测量。资料不足、年龄不适用、已有病史、病史未知和模型不可用分别显示原因，不强行生成概率。</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历史记录查询只读取已保存结果，不重新运行模型。页面自动更新时保留用户尚未提交的输入；旧版未保存输入快照的记录会明确提示无法完整还原当次资料。</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7 医生端管理员端及医患关联</w:t>
      </w:r>
    </w:p>
    <w:tbl>
      <w:tblPr>
        <w:tblStyle w:val="33"/>
        <w:tblW w:w="0" w:type="auto"/>
        <w:tblInd w:w="0" w:type="dxa"/>
        <w:tblLayout w:type="fixed"/>
        <w:tblCellMar>
          <w:top w:w="0" w:type="dxa"/>
          <w:left w:w="108" w:type="dxa"/>
          <w:bottom w:w="0" w:type="dxa"/>
          <w:right w:w="108" w:type="dxa"/>
        </w:tblCellMar>
      </w:tblPr>
      <w:tblGrid>
        <w:gridCol w:w="3118"/>
        <w:gridCol w:w="3118"/>
        <w:gridCol w:w="3118"/>
      </w:tblGrid>
      <w:tr>
        <w:trPr>
          <w:cantSplit/>
          <w:tblHeader/>
        </w:trPr>
        <w:tc>
          <w:tcPr>
            <w:tcW w:w="3118" w:type="dxa"/>
            <w:tcBorders>
              <w:top w:val="single" w:color="000000" w:sz="12" w:space="0"/>
              <w:left w:val="nil"/>
              <w:bottom w:val="single" w:color="000000" w:sz="4" w:space="0"/>
              <w:right w:val="nil"/>
              <w:tl2br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角色</w:t>
            </w:r>
          </w:p>
        </w:tc>
        <w:tc>
          <w:tcPr>
            <w:tcW w:w="3118"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查看范围</w:t>
            </w:r>
          </w:p>
        </w:tc>
        <w:tc>
          <w:tcPr>
            <w:tcW w:w="3118"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主要入口与功能</w:t>
            </w:r>
          </w:p>
        </w:tc>
      </w:tr>
      <w:tr>
        <w:trPr>
          <w:cantSplit/>
        </w:trPr>
        <w:tc>
          <w:tcPr>
            <w:tcW w:w="3118"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老人用户</w:t>
            </w:r>
          </w:p>
        </w:tc>
        <w:tc>
          <w:tcPr>
            <w:tcW w:w="3118"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本人资料与预测</w:t>
            </w:r>
          </w:p>
        </w:tc>
        <w:tc>
          <w:tcPr>
            <w:tcW w:w="3118"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健康风险评估；填写资料、联合预测、查看趋势及两类历史。</w:t>
            </w:r>
          </w:p>
        </w:tc>
      </w:tr>
      <w:tr>
        <w:trPr>
          <w:cantSplit/>
        </w:trPr>
        <w:tc>
          <w:tcPr>
            <w:tcW w:w="3118"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医生</w:t>
            </w:r>
          </w:p>
        </w:tc>
        <w:tc>
          <w:tcPr>
            <w:tcW w:w="3118"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与本人存在咨询关联的患者</w:t>
            </w:r>
          </w:p>
        </w:tc>
        <w:tc>
          <w:tcPr>
            <w:tcW w:w="3118" w:type="dxa"/>
            <w:tcBorders>
              <w:top w:val="nil"/>
              <w:left w:val="nil"/>
              <w:bottom w:val="nil"/>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患者健康管理；查看档案、测量、两类结果、输入快照与历史。</w:t>
            </w:r>
          </w:p>
        </w:tc>
      </w:tr>
      <w:tr>
        <w:trPr>
          <w:cantSplit/>
        </w:trPr>
        <w:tc>
          <w:tcPr>
            <w:tcW w:w="311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jc w:val="center"/>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管理员</w:t>
            </w:r>
          </w:p>
        </w:tc>
        <w:tc>
          <w:tcPr>
            <w:tcW w:w="311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全部用户</w:t>
            </w:r>
          </w:p>
        </w:tc>
        <w:tc>
          <w:tcPr>
            <w:tcW w:w="311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pPr>
              <w:spacing w:after="0" w:line="278" w:lineRule="auto"/>
              <w:rPr>
                <w:rFonts w:hint="default" w:ascii="Times New Roman" w:hAnsi="Times New Roman" w:eastAsia="宋体" w:cstheme="minorEastAsia"/>
                <w:b w:val="0"/>
                <w:sz w:val="24"/>
                <w:szCs w:val="24"/>
              </w:rPr>
            </w:pPr>
            <w:r>
              <w:rPr>
                <w:rFonts w:hint="default" w:ascii="Times New Roman" w:hAnsi="Times New Roman" w:eastAsia="宋体" w:cstheme="minorEastAsia"/>
                <w:b w:val="0"/>
                <w:sz w:val="24"/>
                <w:szCs w:val="24"/>
              </w:rPr>
              <w:t>联合评估管理；按姓名账号日期筛选，查看测量、预测、统计与模型状态。</w:t>
            </w:r>
          </w:p>
        </w:tc>
      </w:tr>
    </w:tbl>
    <w:p>
      <w:pPr>
        <w:spacing w:after="20"/>
        <w:rPr>
          <w:rFonts w:hint="default" w:ascii="Times New Roman" w:hAnsi="Times New Roman" w:eastAsia="宋体" w:cstheme="minorEastAsia"/>
          <w:sz w:val="24"/>
          <w:szCs w:val="24"/>
        </w:rPr>
      </w:pP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三端通过共用的health-review查询接口读取同一批数据库记录。用户保存后，关联医生和管理员在页面刷新时即可看到；页面可见时每15秒自动刷新，返回页面时立即检查，同一浏览器的其他页面也会接收刷新通知。</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8 当前所有用户已关联 doc1</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截至2026年10月17日本次操作完成时，数据库中420个普通用户已全部关联doc1李医生。此前1个用户已有关系，本次新增419条“健康管理关联”咨询记录，原有咨询与其他医生关系保留，管理员账号不纳入。</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数据库通过doctor_consultation记录患者与医生关系；创建咨询成功即建立关联，不需要等待医生回复。一般用户可以在“医生咨询”中选医生、填主题并确认，也可以分别向多位医生发起咨询。当前结束咨询只改变会话状态，不自动解除健康数据查看关系。</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本次批量操作是对现有用户的一次关联，未改变医生的全局权限，也没有配置新注册用户自动绑定。其他医生仍只能看到与自己有关联的患者。doc1可进入“患者身体数据”立即刷新；已通过接口核对420人列表、2条个性化预测、3条慢性病预测及其详情可见。</w:t>
      </w:r>
    </w:p>
    <w:p>
      <w:pPr>
        <w:pStyle w:val="4"/>
        <w:rPr>
          <w:rFonts w:hint="eastAsia" w:ascii="Times New Roman" w:hAnsi="Times New Roman" w:eastAsia="宋体" w:cs="黑体"/>
          <w:b w:val="0"/>
          <w:bCs w:val="0"/>
          <w:sz w:val="24"/>
          <w:szCs w:val="24"/>
        </w:rPr>
      </w:pPr>
      <w:r>
        <w:rPr>
          <w:rFonts w:hint="eastAsia" w:ascii="Times New Roman" w:hAnsi="Times New Roman" w:eastAsia="宋体" w:cs="黑体"/>
          <w:b w:val="0"/>
          <w:bCs w:val="0"/>
          <w:sz w:val="24"/>
          <w:szCs w:val="24"/>
        </w:rPr>
        <w:t>9 文件与结果追溯</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个性化模型的正式权重与指标位于risk-service/model；五病种线上版本位于chronic-disease/models/nhefs5-opt-20261015-v2。课程实验的数据快照、权重、逐人预测和图表统一位于chronic-disease/experiments/overlap-demo/runs/overlap-20261017-demo。</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实验报告以presentation_summary.csv展示横向指标，以各病种metrics.json保留完整分类报告与混淆矩阵；模型性能图表文件夹保存12张中文图，每张均有PNG、PDF和SVG。成员清单与模型摘要用于核对统计范围和权重，图像、数值与原始记录可互相复算。</w:t>
      </w:r>
    </w:p>
    <w:p>
      <w:pPr>
        <w:rPr>
          <w:rFonts w:hint="default" w:ascii="Times New Roman" w:hAnsi="Times New Roman" w:eastAsia="宋体" w:cstheme="minorEastAsia"/>
          <w:sz w:val="24"/>
          <w:szCs w:val="24"/>
        </w:rPr>
      </w:pPr>
      <w:r>
        <w:rPr>
          <w:rFonts w:hint="default" w:ascii="Times New Roman" w:hAnsi="Times New Roman" w:eastAsia="宋体" w:cstheme="minorEastAsia"/>
          <w:sz w:val="24"/>
          <w:szCs w:val="24"/>
        </w:rPr>
        <w:t>数据定义见chronic-disease/reports/nhefs/cohort_audit.json，联合服务入口为risk-service/unified_app.py，页面入口为IHMS-view/src/views/user/HealthAssessment.vue，医患访问规则位于HealthAccessService。运行步骤见docs/RUN_WINDOWS.md。文档描述对应本次更新时的代码、配置和已核验业务状态。</w:t>
      </w:r>
    </w:p>
    <w:sectPr>
      <w:pgSz w:w="11906" w:h="16838"/>
      <w:pgMar w:top="1134" w:right="1276" w:bottom="1020" w:left="12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B2188C"/>
    <w:rsid w:val="200F321E"/>
    <w:rsid w:val="32ED6992"/>
    <w:rsid w:val="3EE055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00" w:line="293" w:lineRule="auto"/>
    </w:pPr>
    <w:rPr>
      <w:rFonts w:ascii="微软雅黑" w:hAnsi="微软雅黑" w:eastAsia="微软雅黑" w:cstheme="minorBidi"/>
      <w:color w:val="000000"/>
      <w:sz w:val="20"/>
      <w:szCs w:val="22"/>
      <w:lang w:val="en-US" w:eastAsia="en-US" w:bidi="ar-SA"/>
    </w:rPr>
  </w:style>
  <w:style w:type="paragraph" w:styleId="3">
    <w:name w:val="heading 1"/>
    <w:basedOn w:val="1"/>
    <w:next w:val="1"/>
    <w:link w:val="139"/>
    <w:qFormat/>
    <w:uiPriority w:val="9"/>
    <w:pPr>
      <w:keepNext/>
      <w:keepLines/>
      <w:spacing w:before="320" w:after="160" w:line="293" w:lineRule="auto"/>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0"/>
    <w:unhideWhenUsed/>
    <w:qFormat/>
    <w:uiPriority w:val="9"/>
    <w:pPr>
      <w:keepNext/>
      <w:keepLines/>
      <w:spacing w:before="240" w:after="100" w:line="293" w:lineRule="auto"/>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1"/>
    <w:unhideWhenUsed/>
    <w:qFormat/>
    <w:uiPriority w:val="9"/>
    <w:pPr>
      <w:keepNext/>
      <w:keepLines/>
      <w:spacing w:before="180" w:after="60" w:line="293" w:lineRule="auto"/>
      <w:outlineLvl w:val="2"/>
    </w:pPr>
    <w:rPr>
      <w:rFonts w:asciiTheme="majorHAnsi" w:hAnsiTheme="majorHAnsi" w:eastAsiaTheme="majorEastAsia" w:cstheme="majorBidi"/>
      <w:b/>
      <w:bCs/>
      <w:color w:val="000000"/>
      <w:sz w:val="21"/>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100" w:after="180" w:line="293" w:lineRule="auto"/>
    </w:pPr>
    <w:rPr>
      <w:rFonts w:ascii="微软雅黑" w:hAnsi="微软雅黑" w:eastAsia="微软雅黑"/>
      <w:bCs/>
      <w:color w:val="00000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pPr>
      <w:spacing w:before="0" w:after="300" w:line="293" w:lineRule="auto"/>
    </w:pPr>
    <w:rPr>
      <w:rFonts w:asciiTheme="majorHAnsi" w:hAnsiTheme="majorHAnsi" w:eastAsiaTheme="majorEastAsia" w:cstheme="majorBidi"/>
      <w:i/>
      <w:iCs/>
      <w:color w:val="000000"/>
      <w:spacing w:val="15"/>
      <w:sz w:val="23"/>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rPr>
      <w:rFonts w:asciiTheme="majorHAnsi" w:hAnsiTheme="majorHAnsi" w:eastAsiaTheme="majorEastAsia" w:cstheme="majorBidi"/>
      <w:i/>
      <w:iCs/>
      <w:color w:val="000000"/>
      <w:spacing w:val="15"/>
      <w:sz w:val="23"/>
      <w:szCs w:val="24"/>
    </w:rPr>
    <w:pPr>
      <w:spacing w:before="0" w:after="300" w:line="293" w:lineRule="auto"/>
    </w:pPr>
    <w:name w:val="Title"/>
    <w:basedOn w:val="1"/>
    <w:next w:val="1"/>
    <w:link w:val="142"/>
    <w:qFormat/>
    <w:uiPriority w:val="10"/>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3562</Words>
  <Characters>3812</Characters>
  <Lines>0</Lines>
  <Paragraphs>0</Paragraphs>
  <TotalTime>0</TotalTime>
  <ScaleCrop>false</ScaleCrop>
  <LinksUpToDate>false</LinksUpToDate>
  <CharactersWithSpaces>4045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对方正在输入...</cp:lastModifiedBy>
  <dcterms:modified xsi:type="dcterms:W3CDTF">2026-10-17T09:51:45Z</dcterms:modified>
  <cp:revision>1</cp:revision>
  <dc:title>社区老人健康风险评估系统模型训练与联合评估实现说明</dc:title>
  <dc:subject>联合预测业务流程与模型性能</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eyJoZGlkIjoiZWIzMDQyYWM0OTBjYzYwY2M0M2JkZjRhZWU0NjAwNDIiLCJ1c2VySWQiOiI5NDk2NDMwMDgifQ==</vt:lpwstr>
  </property>
  <property fmtid="{D5CDD505-2E9C-101B-9397-08002B2CF9AE}" pid="3" name="KSOProductBuildVer">
    <vt:lpwstr>2052-12.1.0.28505</vt:lpwstr>
  </property>
  <property fmtid="{D5CDD505-2E9C-101B-9397-08002B2CF9AE}" pid="4" name="ICV">
    <vt:lpwstr>9D4FE4E35D3F4BB99F587D1A97D2C270_12</vt:lpwstr>
  </property>
</Properties>
</file>