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社区老人健康风险评估系统说明</w:t>
      </w:r>
    </w:p>
    <w:p>
      <w:pPr>
        <w:pStyle w:val="Subtitle"/>
      </w:pPr>
      <w:r>
        <w:t>数据处理  模型训练  界面设计</w:t>
      </w:r>
    </w:p>
    <w:p>
      <w:r>
        <w:t>系统根据老人已有的基础资料和生理测量，利用训练好的模型估计后续健康指标出现预警的可能性，再结合这位老人近期的测量变化和本次实测异常，给出页面风险提示。下面按数据处理、模型训练和界面使用介绍目前的实现。</w:t>
      </w:r>
    </w:p>
    <w:p>
      <w:pPr>
        <w:pStyle w:val="Heading1"/>
      </w:pPr>
      <w:r>
        <w:t>一 数据处理</w:t>
      </w:r>
    </w:p>
    <w:p>
      <w:pPr>
        <w:pStyle w:val="Heading2"/>
      </w:pPr>
      <w:r>
        <w:t>1 数据来源与时间划分</w:t>
      </w:r>
    </w:p>
    <w:p>
      <w:r>
        <w:t>模型训练使用 PhysioNet 2012 Challenge Set A 的监测记录，并选取符合项目年龄范围的人员。原始记录中，不同人的测量次数和项目并不一致，因此先按时间整理输入与标签。由于数据来自住院监测场景，模型用于社区老人时，还需要结合社区人群的实际数据继续检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AF2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时间范围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AF2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程序中的用途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前 24 小时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取已经整理好的九项输入特征，供模型学习和预测。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8FAFB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后 24 至 48 小时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8FAFB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依据之后实际观察到的五项指标制作训练答案，不进入前期模型输入。</w:t>
            </w:r>
          </w:p>
        </w:tc>
      </w:tr>
    </w:tbl>
    <w:p>
      <w:pPr>
        <w:spacing w:after="20"/>
      </w:pPr>
    </w:p>
    <w:p>
      <w:r>
        <w:t>每人按时间整理成一条训练记录。前 24 小时用于提取模型输入，后 24 至 48 小时用于制作训练标签。前期五项生理指标取已观测数值的均值；这反映该时段的总体状态，不等同于完整的个人变化曲线。系统运行时会另行计算近期趋势。</w:t>
      </w:r>
    </w:p>
    <w:p>
      <w:pPr>
        <w:pStyle w:val="Heading2"/>
      </w:pPr>
      <w:r>
        <w:t>2 模型输入是什么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AF2"/>
          </w:tcPr>
          <w:p>
            <w:pPr>
              <w:spacing w:after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AF2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输入特征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AF2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基础资料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年龄、性别、BMI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提供个体背景。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8FAFB"/>
          </w:tcPr>
          <w:p>
            <w:pPr>
              <w:spacing w:after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五项生理指标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8FAFB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呼吸频率、血氧、收缩压、心率、体温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8FAFB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取前 24 小时各项观测均值；也是制作未来标签时参考 NEWS2 分段的五项。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辅助输入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舒张压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用于模型预测，但不参与 NEWS2 五项综合分的计分。</w:t>
            </w:r>
          </w:p>
        </w:tc>
      </w:tr>
    </w:tbl>
    <w:p>
      <w:pPr>
        <w:spacing w:after="20"/>
      </w:pPr>
    </w:p>
    <w:p>
      <w:r>
        <w:t>网页还会收集病史、吸烟、饮食和活动等资料，供档案和日常管理使用。当前模型实际使用的是表中的九项输入；这些额外资料没有进入本次训练，不能算作模型已学习的特征。</w:t>
      </w:r>
    </w:p>
    <w:p>
      <w:pPr>
        <w:pStyle w:val="Heading2"/>
      </w:pPr>
      <w:r>
        <w:t>3 未来训练标签如何形成</w:t>
      </w:r>
    </w:p>
    <w:p>
      <w:r>
        <w:t>制作标签时，先查看每人在后 24 至 48 小时的实际测量，分别取呼吸频率、血氧、收缩压、心率、体温在该时段的中位数，再按 NEWS2 原始评分表对应区间计分。五项合计达到 5 分标为预警类（1），低于 5 分标为未达到预警线（0）。模型的任务，就是根据前期输入学习这两类标签之间的区别。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AF2"/>
          </w:tcPr>
          <w:p>
            <w:pPr>
              <w:spacing w:after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AF2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0 分区间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AF2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较重异常示例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呼吸频率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12 至 20 次每分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不高于 8 或不低于 25 次每分得 3 分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8FAFB"/>
          </w:tcPr>
          <w:p>
            <w:pPr>
              <w:spacing w:after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血氧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8FAFB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至少 96%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8FAFB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不高于 91% 得 3 分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收缩压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111 至 219 mmHg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不高于 90 或至少 220 mmHg 得 3 分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8FAFB"/>
          </w:tcPr>
          <w:p>
            <w:pPr>
              <w:spacing w:after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心率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8FAFB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51 至 90 次每分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8FAFB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不高于 40 或至少 131 次每分得 3 分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体温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36.1 至 38.0 摄氏度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不高于 35.0 摄氏度得 3 分</w:t>
            </w:r>
          </w:p>
        </w:tc>
      </w:tr>
    </w:tbl>
    <w:p>
      <w:pPr>
        <w:spacing w:after="20"/>
      </w:pPr>
    </w:p>
    <w:p>
      <w:r>
        <w:t>例如，五项分别得到 2、1、1、1、0 分，合计 5 分，该条记录标为 1。这里沿用了 NEWS2 对五项指标的分段和综合计分思路；由于没有纳入吸氧和意识状态，而且五项分数由后续时段各自的中位数组合，所得分数不等于同一时刻的完整 NEWS2 总分。因此，0 类只表示未达到项目设定的五项预警线，不能单独解释为身体健康。</w:t>
      </w:r>
    </w:p>
    <w:p>
      <w:r>
        <w:t>后续时段缺少部分指标时，程序不会直接把缺项记成 0 分。它先用已观测项求最低可能得分，再按每个缺项最高 3 分估计上界：下界已达 5 分，可确定为 1；上界仍低于 5 分，可确定为 0；介于两者之间的记录暂不进入模型训练。这样能保留一部分标签明确的样本，同时避免把未知情况硬判为正常。</w:t>
      </w:r>
    </w:p>
    <w:p>
      <w:pPr>
        <w:pStyle w:val="Heading2"/>
      </w:pPr>
      <w:r>
        <w:t>4 分组与可用样本的先后顺序</w:t>
      </w:r>
    </w:p>
    <w:p>
      <w:r>
        <w:t>数据先沿用原有的按人分组：训练、验证、测试分别有 1518、326、325 人。之后在各组内制作标签，并排除标签无法确定的记录；618 名可用人员没有再重新随机分组。同一人的记录只归入一个组，后期测量也不进入前期模型输入。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AF2"/>
          </w:tcPr>
          <w:p>
            <w:pPr>
              <w:spacing w:after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分组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AF2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原有人数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AF2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标签可确定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AF2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预警类人数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训练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1518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445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46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8FAFB"/>
          </w:tcPr>
          <w:p>
            <w:pPr>
              <w:spacing w:after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验证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8FAFB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326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8FAFB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82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8FAFB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测试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325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91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8FAFB"/>
          </w:tcPr>
          <w:p>
            <w:pPr>
              <w:spacing w:after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合计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8FAFB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2169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8FAFB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618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8FAFB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72</w:t>
            </w:r>
          </w:p>
        </w:tc>
      </w:tr>
    </w:tbl>
    <w:p>
      <w:pPr>
        <w:spacing w:after="20"/>
      </w:pPr>
    </w:p>
    <w:p>
      <w:r>
        <w:t>这批数据共生成 2517 条候选标签，其中 618 条能确定类别；在原有三组内，可用人数和预警类人数见下表。标签能否确定与后期测量是否完整有关，因此最终样本可能偏向记录较充分的人。测试集只有 12 个预警样本，少数几人的分类变化就会明显影响指标，后续还需要更多连续测量数据来检验。</w:t>
      </w:r>
    </w:p>
    <w:p>
      <w:pPr>
        <w:pStyle w:val="Heading2"/>
      </w:pPr>
      <w:r>
        <w:t>5 前期输入缺失怎样处理</w:t>
      </w:r>
    </w:p>
    <w:p>
      <w:r>
        <w:t>缺失值处理只在训练集上确定参数，再原样用于验证集、测试集和系统预测。呼吸频率由训练样本中相近人员的观测辅助补全；其余缺失输入采用训练集相应指标的中位数，并保留缺失标记，让模型区分实测值与补全值。补全只服务于模型计算，不会写回原始测量记录，也不能替代实际测量。</w:t>
      </w:r>
    </w:p>
    <w:p>
      <w:pPr>
        <w:pStyle w:val="Heading1"/>
      </w:pPr>
      <w:r>
        <w:t>二 模型训练与结果解释</w:t>
      </w:r>
    </w:p>
    <w:p>
      <w:pPr>
        <w:pStyle w:val="Heading2"/>
      </w:pPr>
      <w:r>
        <w:t>1 训练任务与模型设置</w:t>
      </w:r>
    </w:p>
    <w:p>
      <w:r>
        <w:t>系统使用 XGBoost 训练二分类模型：一类是后续五项综合分达到项目预警线，另一类是未达到。模型读取前期九项特征和缺失标记，训练时对人数较少的预警类给予相应权重。当前配置的训练上限为 400 轮，树深度为 2，学习率为 0.035；这些是本次训练采用的参数，并非已经完成全面搜索后得到的最优参数。</w:t>
      </w:r>
    </w:p>
    <w:p>
      <w:r>
        <w:t>训练过程中用验证集观察效果并提前停止。本次最优迭代编号为 38（从 0 开始），对应前 39 轮；程序实际训练到第 74 轮，是因为最优结果之后又等待了 35 轮仍没有改善。预测时使用最优轮数对应的模型。35 轮是当前的等待设置，若扩大数据或调整参数，可以再比较不同等待长度和训练轮数。</w:t>
      </w:r>
    </w:p>
    <w:p>
      <w:pPr>
        <w:pStyle w:val="Heading2"/>
      </w:pPr>
      <w:r>
        <w:t>2 从模型估计值到预警类别</w:t>
      </w:r>
    </w:p>
    <w:p>
      <w:r>
        <w:t>模型先输出 0 至 1 的预警类估计值，再用阈值把它转成两类结果。阈值在验证集上选择：先要求召回率达到约 75%，再从符合条件的阈值中选择 F1 较高者，本次约为 0.592。估计值达到阈值就归为预警类，低于阈值归为未预警类。该数值可用于排序和分类，但尚未完成面向社区老人实际发生率的概率校准。</w:t>
      </w:r>
    </w:p>
    <w:p>
      <w:r>
        <w:t>这里有两条用途不同的界线：五项合计 5 分用于生成训练标签，0.592 用于把模型输出转换为分类。约 75% 的召回率是项目为了减少漏报而设的验证目标，需同时观察误报、精确率和 F1。阈值只根据验证集确定，测试集留到最后评估；验证集预警样本较少，后续数据增加时应重新检查阈值是否合适。</w:t>
      </w:r>
    </w:p>
    <w:p>
      <w:pPr>
        <w:pStyle w:val="Heading2"/>
      </w:pPr>
      <w:r>
        <w:t>3  测试集表现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AF2"/>
          </w:tcPr>
          <w:p>
            <w:pPr>
              <w:spacing w:after="0" w:line="278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AF2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测试集结果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AF2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应怎样读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准确率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91.21%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91 人中预测标签正确的比例，不能等同于健康诊断准确率。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8FAFB"/>
          </w:tcPr>
          <w:p>
            <w:pPr>
              <w:spacing w:after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召回率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8FAFB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75.00%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8FAFB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12 个预警标签中找出 9 个，仍漏掉 3 个。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精确率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64.29%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14 个模型预警中有 9 个与项目标签一致。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8FAFB"/>
          </w:tcPr>
          <w:p>
            <w:pPr>
              <w:spacing w:after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F1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8FAFB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69.23%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8FAFB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综合精确率和召回率的指标。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ROC AUC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0.898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衡量不同阈值下对两类标签的区分能力，不是准确率。</w:t>
            </w:r>
          </w:p>
        </w:tc>
      </w:tr>
    </w:tbl>
    <w:p>
      <w:pPr>
        <w:spacing w:after="20"/>
      </w:pPr>
    </w:p>
    <w:p>
      <w:r>
        <w:t>测试结果来自固定的 91 人测试集，具体数值见上表及下方图示。准确率反映对项目标签的分类情况；预警类较少时，还要一起看召回率、精确率、F1 和混淆矩阵。这些结果说明模型在当前数据上的表现，尚不足以推断它对所有社区老人的健康状态都有相同准确度。</w:t>
      </w:r>
    </w:p>
    <w:p>
      <w:pPr>
        <w:pStyle w:val="Heading2"/>
      </w:pPr>
      <w:r>
        <w:t>4 训练模型怎样进入系统预测</w:t>
      </w:r>
    </w:p>
    <w:p>
      <w:r>
        <w:t>训练结束后，将模型、缺失值处理方法、特征顺序和分类阈值作为同一套文件部署到 Python 风险服务。服务加载模型后接收 Java 后端提供的测量和历史数据，返回评估结果；更新模型文件后需要重启风险服务，使新版本生效。</w:t>
      </w:r>
    </w:p>
    <w:p>
      <w:r>
        <w:t>系统预测时，模型输入来自评估前 24 小时的测量记录。某项只有一次实测就使用该次值；某项完全缺失时，按照训练阶段确定的方法补全模型输入，并保留缺失标记。页面仍把真实测量与补全输入分开处理，缺测较多时不会只凭补全值给出正常结论。</w:t>
      </w:r>
    </w:p>
    <w:p>
      <w:r>
        <w:t>模型预测是综合判断的一部分。系统还会比较本次测量与该老人近 30 天内最多 30 条历史记录，通常至少需要 3 条可比较记录，才能形成个人变化值。当前规则中，模型估计值达到分类阈值，或个人变化值达到 0.50，都会进入“关注”；两者同时出现，提示为“高风险”。五项实测综合异常和严重单项异常也会参与提示。这样既参考群体数据学出的规律，也考虑个人平时的状态；各项界线仍可随使用数据积累继续调整。</w:t>
      </w:r>
    </w:p>
    <w:p>
      <w:pPr>
        <w:pStyle w:val="Heading2"/>
      </w:pPr>
      <w:r>
        <w:t>5  混淆矩阵、ROC 与学习曲线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3767442"/>
            <wp:docPr id="1" name="Picture 1" descr="图 1  测试集混淆矩阵  74 人正确判为未预警  9 人正确判为预警  5 人误报  3 人漏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67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测试集混淆矩阵  74 人正确判为未预警  9 人正确判为预警  5 人误报  3 人漏报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3314239"/>
            <wp:docPr id="2" name="Picture 2" descr="图 2  测试集 ROC 曲线  AUC 为 0.898  对角线表示随机判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auc_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14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测试集 ROC 曲线  AUC 为 0.898  对角线表示随机判断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96000" cy="2465018"/>
            <wp:docPr id="3" name="Picture 3" descr="图 3  学习曲线  展示训练轮次及样本量变化下的模型表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465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学习曲线  展示训练轮次及样本量变化下的模型表现</w:t>
      </w:r>
    </w:p>
    <w:p>
      <w:r>
        <w:t>混淆矩阵可直接看到误报和漏报人数；ROC 曲线与 AUC 反映不同分类阈值下的区分能力；学习曲线则用于观察训练轮数和样本规模变化时的表现。读图时需要同时注意测试集预警样本只有 12 人。</w:t>
      </w:r>
    </w:p>
    <w:p>
      <w:pPr>
        <w:pStyle w:val="Heading1"/>
      </w:pPr>
      <w:r>
        <w:t>三 界面设计与使用流程</w:t>
      </w:r>
    </w:p>
    <w:p>
      <w:pPr>
        <w:pStyle w:val="Heading2"/>
      </w:pPr>
      <w:r>
        <w:t>1  系统模块与数据流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AF2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组成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AF2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当前职责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网页前端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提供老人、医生、管理员的操作页面，提交测量并展示评估与趋势。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8FAFB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Java 后端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8FAFB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处理登录身份、保存档案与测量、读取历史、调用 Python 风险服务并保存评估记录。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Python 风险服务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/>
                <w:sz w:val="18"/>
              </w:rPr>
              <w:t>加载已训练模型，处理缺失输入，计算模型估计值、个人变化和实测单项警报。</w:t>
            </w:r>
          </w:p>
        </w:tc>
      </w:tr>
    </w:tbl>
    <w:p>
      <w:pPr>
        <w:spacing w:after="20"/>
      </w:pPr>
    </w:p>
    <w:p>
      <w:r>
        <w:t>系统预测使用的是 Python 风险服务中已部署的模型文件。重新训练只会生成新的模型文件；确认版本并替换部署文件、重启服务后，页面评估才会使用新模型。</w:t>
      </w:r>
    </w:p>
    <w:p>
      <w:pPr>
        <w:pStyle w:val="Heading2"/>
      </w:pPr>
      <w:r>
        <w:t>2 老人端界面</w:t>
      </w:r>
    </w:p>
    <w:p>
      <w:r>
        <w:t>老人端按使用顺序安排为：填写年龄、性别、BMI 等基础资料，录入收缩压、舒张压、心率、血氧、体温和呼吸频率，保存本次测量，再查看风险评估与趋势。先保存再评估，是为了让本次结果和趋势都对应已记录的同一组测量。页面还可查看近 30 天的变化，便于观察一次测量之外的走势。</w:t>
      </w:r>
    </w:p>
    <w:p>
      <w:r>
        <w:t>评估区显示“正常”“关注”“高风险”或“暂无法评估”，并提供主要原因、近期变化和实测单项警报。页面不展示内部逐项得分，目的是让老人先看到需要关注的结论；遇到测量不足会提示补测。这里的“正常”是当前系统规则下未触发预警，不表示已经完成医学诊断。</w:t>
      </w:r>
    </w:p>
    <w:p>
      <w:pPr>
        <w:pStyle w:val="Heading2"/>
      </w:pPr>
      <w:r>
        <w:t>3 医生端与管理员端</w:t>
      </w:r>
    </w:p>
    <w:p>
      <w:r>
        <w:t>医生端以人为单位查看资料：先选老人，再看最近一次测量、最近一次风险状态、主要单项警报，以及 7、30、90 天的指标曲线和测量明细。这样医生可以把最新结果放到个人历史中理解。当前页面主要呈现系统已保存的评估和历史测量，便于进一步人工查看。</w:t>
      </w:r>
    </w:p>
    <w:p>
      <w:r>
        <w:t>管理员端负责用户、医生、健康资讯和测量记录等日常管理。它与老人端、医生端使用同一批业务记录，分别提供维护、个人查看和按人查看的入口。</w:t>
      </w:r>
    </w:p>
    <w:p>
      <w:pPr>
        <w:pStyle w:val="Heading2"/>
      </w:pPr>
      <w:r>
        <w:t>4 缺测反馈与报告现状</w:t>
      </w:r>
    </w:p>
    <w:p>
      <w:r>
        <w:t>预测时若当前缺少某项测量，程序会先寻找前 24 小时内该项真实记录；仍没有时，再按训练时的方法补全模型输入。补全值不会被显示为本次实测。实测项目太少时，页面给出“暂无法评估”，并提示补测；个人历史不足时，则说明近期变化暂时无法判断。</w:t>
      </w:r>
    </w:p>
    <w:p>
      <w:r>
        <w:t>目前系统会在页面显示风险等级、主要原因、测量值和近期趋势，并保存评估结果，老人和医生都可查看。独立的可下载或打印报告尚未加入界面；如果后续用于正式交付，可以再将缺测说明、各项测量和判断依据整理成固定报告格式。</w:t>
      </w:r>
    </w:p>
    <w:p>
      <w:hyperlink r:id="rId12">
        <w:r>
          <w:rPr>
            <w:color w:val="1B5F91"/>
            <w:u w:val="single"/>
          </w:rPr>
          <w:t>NEWS2 评分表</w:t>
        </w:r>
      </w:hyperlink>
      <w:r>
        <w:t xml:space="preserve">  ·  </w:t>
      </w:r>
      <w:hyperlink r:id="rId13">
        <w:r>
          <w:rPr>
            <w:color w:val="1B5F91"/>
            <w:u w:val="single"/>
          </w:rPr>
          <w:t>NEWS2 预警阈值说明</w:t>
        </w:r>
      </w:hyperlink>
      <w:r>
        <w:t xml:space="preserve">  ·  </w:t>
      </w:r>
      <w:hyperlink r:id="rId14">
        <w:r>
          <w:rPr>
            <w:color w:val="1B5F91"/>
            <w:u w:val="single"/>
          </w:rPr>
          <w:t>PhysioNet 原始数据</w:t>
        </w:r>
      </w:hyperlink>
    </w:p>
    <w:sectPr w:rsidR="00FC693F" w:rsidRPr="0006063C" w:rsidSect="00034616">
      <w:pgSz w:w="11906" w:h="16838"/>
      <w:pgMar w:top="1134" w:right="1276" w:bottom="102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93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9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9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 w:line="293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93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00" w:line="293" w:lineRule="auto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93" w:lineRule="auto" w:before="100" w:after="180"/>
    </w:pPr>
    <w:rPr>
      <w:rFonts w:ascii="Microsoft YaHei" w:hAnsi="Microsoft YaHei" w:eastAsia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www.rcp.ac.uk/media/alxev00t/news2-chart-1_the-news-scoring-system_0_0.pdf" TargetMode="External"/><Relationship Id="rId13" Type="http://schemas.openxmlformats.org/officeDocument/2006/relationships/hyperlink" Target="https://www.rcp.ac.uk/media/2acdezkd/news2-chart-2_news-thresholds-and-triggers_0.pdf" TargetMode="External"/><Relationship Id="rId14" Type="http://schemas.openxmlformats.org/officeDocument/2006/relationships/hyperlink" Target="https://physionet.org/content/challenge-2012/1.0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