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csd-profile-optimisation-plan"/>
      <w:r>
        <w:t xml:space="preserve">CSD PROFILE OPTIMISATION PLAN</w:t>
      </w:r>
      <w:bookmarkEnd w:id="20"/>
    </w:p>
    <w:p>
      <w:pPr>
        <w:pStyle w:val="Heading2"/>
      </w:pPr>
      <w:bookmarkStart w:id="21" w:name="proaxis-solutions-pty-ltd"/>
      <w:r>
        <w:t xml:space="preserve">Proaxis Solutions (Pty) Ltd</w:t>
      </w:r>
      <w:bookmarkEnd w:id="21"/>
    </w:p>
    <w:p>
      <w:r>
        <w:pict>
          <v:rect style="width:0;height:1.5pt" o:hralign="center" o:hrstd="t" o:hr="t"/>
        </w:pict>
      </w:r>
    </w:p>
    <w:p>
      <w:pPr>
        <w:pStyle w:val="FirstParagraph"/>
      </w:pPr>
      <w:r>
        <w:rPr>
          <w:b/>
        </w:rPr>
        <w:t xml:space="preserve">Version:</w:t>
      </w:r>
      <w:r>
        <w:t xml:space="preserve"> 1.0</w:t>
        <w:br/>
      </w:r>
      <w:r>
        <w:rPr>
          <w:b/>
        </w:rPr>
        <w:t xml:space="preserve">Date:</w:t>
      </w:r>
      <w:r>
        <w:t xml:space="preserve"> June 2026</w:t>
        <w:br/>
      </w:r>
      <w:r>
        <w:rPr>
          <w:b/>
        </w:rPr>
        <w:t xml:space="preserve">Priority:</w:t>
      </w:r>
      <w:r>
        <w:t xml:space="preserve"> 🟠 HIGH — Required for all government and public sector procurement</w:t>
        <w:br/>
      </w:r>
      <w:r>
        <w:rPr>
          <w:b/>
        </w:rPr>
        <w:t xml:space="preserve">CSD Portal:</w:t>
      </w:r>
      <w:r>
        <w:t xml:space="preserve"> www.csd.gov.za</w:t>
      </w:r>
    </w:p>
    <w:p>
      <w:r>
        <w:pict>
          <v:rect style="width:0;height:1.5pt" o:hralign="center" o:hrstd="t" o:hr="t"/>
        </w:pict>
      </w:r>
    </w:p>
    <w:p>
      <w:pPr>
        <w:pStyle w:val="BlockText"/>
      </w:pPr>
      <w:r>
        <w:rPr>
          <w:b/>
        </w:rPr>
        <w:t xml:space="preserve">Prerequisite:</w:t>
      </w:r>
      <w:r>
        <w:t xml:space="preserve"> Complete the TCS PIN Action Plan first. The TCS PIN must be active before the CSD profile can be fully optimised and activated.</w:t>
      </w:r>
    </w:p>
    <w:p>
      <w:r>
        <w:pict>
          <v:rect style="width:0;height:1.5pt" o:hralign="center" o:hrstd="t" o:hr="t"/>
        </w:pict>
      </w:r>
    </w:p>
    <w:p>
      <w:pPr>
        <w:pStyle w:val="Heading2"/>
      </w:pPr>
      <w:bookmarkStart w:id="22" w:name="background"/>
      <w:r>
        <w:t xml:space="preserve">BACKGROUND</w:t>
      </w:r>
      <w:bookmarkEnd w:id="22"/>
    </w:p>
    <w:p>
      <w:pPr>
        <w:pStyle w:val="FirstParagraph"/>
      </w:pPr>
      <w:r>
        <w:t xml:space="preserve">Proaxis Solutions (Pty) Ltd is registered on the Central Supplier Database (CSD). However, the profile requires optimisation before it is fit for active tender procurement. An incomplete or inaccurate CSD profile will result in tender disqualification.</w:t>
      </w:r>
    </w:p>
    <w:p>
      <w:r>
        <w:pict>
          <v:rect style="width:0;height:1.5pt" o:hralign="center" o:hrstd="t" o:hr="t"/>
        </w:pict>
      </w:r>
    </w:p>
    <w:p>
      <w:pPr>
        <w:pStyle w:val="Heading2"/>
      </w:pPr>
      <w:bookmarkStart w:id="23" w:name="pre-optimisation-requirements"/>
      <w:r>
        <w:t xml:space="preserve">PRE-OPTIMISATION REQUIREMENTS</w:t>
      </w:r>
      <w:bookmarkEnd w:id="23"/>
    </w:p>
    <w:p>
      <w:pPr>
        <w:pStyle w:val="FirstParagraph"/>
      </w:pPr>
      <w:r>
        <w:t xml:space="preserve">Before updating the CSD profile, ensure the following are in place: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Item</w:t>
            </w:r>
          </w:p>
        </w:tc>
        <w:tc>
          <w:tcPr>
            <w:tcBorders>
              <w:bottom w:val="single"/>
            </w:tcBorders>
            <w:vAlign w:val="bottom"/>
          </w:tcPr>
          <w:p>
            <w:pPr>
              <w:pStyle w:val="Compact"/>
              <w:jc w:val="left"/>
            </w:pPr>
            <w:r>
              <w:t xml:space="preserve">Status</w:t>
            </w:r>
          </w:p>
        </w:tc>
        <w:tc>
          <w:tcPr>
            <w:tcBorders>
              <w:bottom w:val="single"/>
            </w:tcBorders>
            <w:vAlign w:val="bottom"/>
          </w:tcPr>
          <w:p>
            <w:pPr>
              <w:pStyle w:val="Compact"/>
              <w:jc w:val="left"/>
            </w:pPr>
            <w:r>
              <w:t xml:space="preserve">Required</w:t>
            </w:r>
          </w:p>
        </w:tc>
      </w:tr>
      <w:tr>
        <w:tc>
          <w:p>
            <w:pPr>
              <w:pStyle w:val="Compact"/>
              <w:jc w:val="left"/>
            </w:pPr>
            <w:r>
              <w:t xml:space="preserve">SARS TCS PIN — active</w:t>
            </w:r>
          </w:p>
        </w:tc>
        <w:tc>
          <w:p>
            <w:pPr>
              <w:pStyle w:val="Compact"/>
              <w:jc w:val="left"/>
            </w:pPr>
            <w:r>
              <w:t xml:space="preserve">❌ Not yet obtained</w:t>
            </w:r>
          </w:p>
        </w:tc>
        <w:tc>
          <w:p>
            <w:pPr>
              <w:pStyle w:val="Compact"/>
              <w:jc w:val="left"/>
            </w:pPr>
            <w:r>
              <w:t xml:space="preserve">MUST be obtained first</w:t>
            </w:r>
          </w:p>
        </w:tc>
      </w:tr>
      <w:tr>
        <w:tc>
          <w:p>
            <w:pPr>
              <w:pStyle w:val="Compact"/>
              <w:jc w:val="left"/>
            </w:pPr>
            <w:r>
              <w:t xml:space="preserve">Bank verification letter — less than 3 months old</w:t>
            </w:r>
          </w:p>
        </w:tc>
        <w:tc>
          <w:p>
            <w:pPr>
              <w:pStyle w:val="Compact"/>
              <w:jc w:val="left"/>
            </w:pPr>
            <w:r>
              <w:t xml:space="preserve">⏳ Obtain from FNB</w:t>
            </w:r>
          </w:p>
        </w:tc>
        <w:tc>
          <w:p>
            <w:pPr>
              <w:pStyle w:val="Compact"/>
              <w:jc w:val="left"/>
            </w:pPr>
            <w:r>
              <w:t xml:space="preserve">Required for banking verification on CSD</w:t>
            </w:r>
          </w:p>
        </w:tc>
      </w:tr>
      <w:tr>
        <w:tc>
          <w:p>
            <w:pPr>
              <w:pStyle w:val="Compact"/>
              <w:jc w:val="left"/>
            </w:pPr>
            <w:r>
              <w:t xml:space="preserve">B-BBEE certificate / new EME affidavit</w:t>
            </w:r>
          </w:p>
        </w:tc>
        <w:tc>
          <w:p>
            <w:pPr>
              <w:pStyle w:val="Compact"/>
              <w:jc w:val="left"/>
            </w:pPr>
            <w:r>
              <w:t xml:space="preserve">⚠️ Expiring 07 Jul 2026</w:t>
            </w:r>
          </w:p>
        </w:tc>
        <w:tc>
          <w:p>
            <w:pPr>
              <w:pStyle w:val="Compact"/>
              <w:jc w:val="left"/>
            </w:pPr>
            <w:r>
              <w:t xml:space="preserve">Ensure current and upload new affidavit once commissioned</w:t>
            </w:r>
          </w:p>
        </w:tc>
      </w:tr>
      <w:tr>
        <w:tc>
          <w:p>
            <w:pPr>
              <w:pStyle w:val="Compact"/>
              <w:jc w:val="left"/>
            </w:pPr>
            <w:r>
              <w:t xml:space="preserve">Company registration number confirmed</w:t>
            </w:r>
          </w:p>
        </w:tc>
        <w:tc>
          <w:p>
            <w:pPr>
              <w:pStyle w:val="Compact"/>
              <w:jc w:val="left"/>
            </w:pPr>
            <w:r>
              <w:t xml:space="preserve">✅ 2025/542019/07</w:t>
            </w:r>
          </w:p>
        </w:tc>
        <w:tc>
          <w:p>
            <w:pPr>
              <w:pStyle w:val="Compact"/>
              <w:jc w:val="left"/>
            </w:pPr>
            <w:r>
              <w:t xml:space="preserve">—</w:t>
            </w:r>
          </w:p>
        </w:tc>
      </w:tr>
      <w:tr>
        <w:tc>
          <w:p>
            <w:pPr>
              <w:pStyle w:val="Compact"/>
              <w:jc w:val="left"/>
            </w:pPr>
            <w:r>
              <w:t xml:space="preserve">Business email active</w:t>
            </w:r>
          </w:p>
        </w:tc>
        <w:tc>
          <w:p>
            <w:pPr>
              <w:pStyle w:val="Compact"/>
              <w:jc w:val="left"/>
            </w:pPr>
            <w:r>
              <w:t xml:space="preserve">❌ Pending setup</w:t>
            </w:r>
          </w:p>
        </w:tc>
        <w:tc>
          <w:p>
            <w:pPr>
              <w:pStyle w:val="Compact"/>
              <w:jc w:val="left"/>
            </w:pPr>
            <w:r>
              <w:t xml:space="preserve">Update CSD contact email once active</w:t>
            </w:r>
          </w:p>
        </w:tc>
      </w:tr>
      <w:tr>
        <w:tc>
          <w:p>
            <w:pPr>
              <w:pStyle w:val="Compact"/>
              <w:jc w:val="left"/>
            </w:pPr>
            <w:r>
              <w:t xml:space="preserve">CIPC registration certificate</w:t>
            </w:r>
          </w:p>
        </w:tc>
        <w:tc>
          <w:p>
            <w:pPr>
              <w:pStyle w:val="Compact"/>
              <w:jc w:val="left"/>
            </w:pPr>
            <w:r>
              <w:t xml:space="preserve">⏳ Obtain from CIPC</w:t>
            </w:r>
          </w:p>
        </w:tc>
        <w:tc>
          <w:p>
            <w:pPr>
              <w:pStyle w:val="Compact"/>
              <w:jc w:val="left"/>
            </w:pPr>
            <w:r>
              <w:t xml:space="preserve">May be required for upload</w:t>
            </w:r>
          </w:p>
        </w:tc>
      </w:tr>
    </w:tbl>
    <w:p>
      <w:r>
        <w:pict>
          <v:rect style="width:0;height:1.5pt" o:hralign="center" o:hrstd="t" o:hr="t"/>
        </w:pict>
      </w:r>
    </w:p>
    <w:p>
      <w:pPr>
        <w:pStyle w:val="Heading2"/>
      </w:pPr>
      <w:bookmarkStart w:id="24" w:name="step-by-step-csd-optimisation"/>
      <w:r>
        <w:t xml:space="preserve">STEP-BY-STEP CSD OPTIMISATION</w:t>
      </w:r>
      <w:bookmarkEnd w:id="24"/>
    </w:p>
    <w:p>
      <w:pPr>
        <w:pStyle w:val="Heading3"/>
      </w:pPr>
      <w:bookmarkStart w:id="25" w:name="step-1-log-into-csd"/>
      <w:r>
        <w:t xml:space="preserve">Step 1 — Log Into CSD</w:t>
      </w:r>
      <w:bookmarkEnd w:id="25"/>
    </w:p>
    <w:p>
      <w:pPr>
        <w:numPr>
          <w:ilvl w:val="0"/>
          <w:numId w:val="1001"/>
        </w:numPr>
        <w:pStyle w:val="Compact"/>
      </w:pPr>
      <w:r>
        <w:t xml:space="preserve">Navigate to: </w:t>
      </w:r>
      <w:r>
        <w:rPr>
          <w:b/>
        </w:rPr>
        <w:t xml:space="preserve">www.csd.gov.za</w:t>
      </w:r>
    </w:p>
    <w:p>
      <w:pPr>
        <w:numPr>
          <w:ilvl w:val="0"/>
          <w:numId w:val="1001"/>
        </w:numPr>
        <w:pStyle w:val="Compact"/>
      </w:pPr>
      <w:r>
        <w:t xml:space="preserve">Log in with the registered credentials for Proaxis Solutions (Pty) Ltd.</w:t>
      </w:r>
    </w:p>
    <w:p>
      <w:pPr>
        <w:numPr>
          <w:ilvl w:val="0"/>
          <w:numId w:val="1001"/>
        </w:numPr>
        <w:pStyle w:val="Compact"/>
      </w:pPr>
      <w:r>
        <w:t>If credentials are not available: use the “Forgot Password” function or contact the CSD Help Desk.</w:t>
      </w:r>
    </w:p>
    <w:p>
      <w:r>
        <w:pict>
          <v:rect style="width:0;height:1.5pt" o:hralign="center" o:hrstd="t" o:hr="t"/>
        </w:pict>
      </w:r>
    </w:p>
    <w:p>
      <w:pPr>
        <w:pStyle w:val="Heading3"/>
      </w:pPr>
      <w:bookmarkStart w:id="26" w:name="X473037f0f174a3afb0462f8d17a3fb3de25f80e"/>
      <w:r>
        <w:t xml:space="preserve">Step 2 — Review and Update Company Information</w:t>
      </w:r>
      <w:bookmarkEnd w:id="26"/>
    </w:p>
    <w:p>
      <w:pPr>
        <w:pStyle w:val="FirstParagraph"/>
      </w:pPr>
      <w:r>
        <w:t xml:space="preserve">Navigate to the company information section and verify/update each field: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Required Value</w:t>
            </w:r>
          </w:p>
        </w:tc>
        <w:tc>
          <w:tcPr>
            <w:tcBorders>
              <w:bottom w:val="single"/>
            </w:tcBorders>
            <w:vAlign w:val="bottom"/>
          </w:tcPr>
          <w:p>
            <w:pPr>
              <w:pStyle w:val="Compact"/>
              <w:jc w:val="left"/>
            </w:pPr>
            <w:r>
              <w:t xml:space="preserve">Action</w:t>
            </w:r>
          </w:p>
        </w:tc>
      </w:tr>
      <w:tr>
        <w:tc>
          <w:p>
            <w:pPr>
              <w:pStyle w:val="Compact"/>
              <w:jc w:val="left"/>
            </w:pPr>
            <w:r>
              <w:rPr>
                <w:b/>
              </w:rPr>
              <w:t xml:space="preserve">Legal Entity Name</w:t>
            </w:r>
          </w:p>
        </w:tc>
        <w:tc>
          <w:p>
            <w:pPr>
              <w:pStyle w:val="Compact"/>
              <w:jc w:val="left"/>
            </w:pPr>
            <w:r>
              <w:t xml:space="preserve">Proaxis Solutions (Pty) Ltd</w:t>
            </w:r>
          </w:p>
        </w:tc>
        <w:tc>
          <w:p>
            <w:pPr>
              <w:pStyle w:val="Compact"/>
              <w:jc w:val="left"/>
            </w:pPr>
            <w:r>
              <w:t>Must match CIPC exactly — including “(Pty) Ltd”</w:t>
            </w:r>
          </w:p>
        </w:tc>
      </w:tr>
      <w:tr>
        <w:tc>
          <w:p>
            <w:pPr>
              <w:pStyle w:val="Compact"/>
              <w:jc w:val="left"/>
            </w:pPr>
            <w:r>
              <w:rPr>
                <w:b/>
              </w:rPr>
              <w:t xml:space="preserve">Trading Name</w:t>
            </w:r>
          </w:p>
        </w:tc>
        <w:tc>
          <w:p>
            <w:pPr>
              <w:pStyle w:val="Compact"/>
              <w:jc w:val="left"/>
            </w:pPr>
            <w:r>
              <w:t xml:space="preserve">Proaxis Solutions</w:t>
            </w:r>
          </w:p>
        </w:tc>
        <w:tc>
          <w:p>
            <w:pPr>
              <w:pStyle w:val="Compact"/>
              <w:jc w:val="left"/>
            </w:pPr>
            <w:r>
              <w:t xml:space="preserve">If different from legal name</w:t>
            </w:r>
          </w:p>
        </w:tc>
      </w:tr>
      <w:tr>
        <w:tc>
          <w:p>
            <w:pPr>
              <w:pStyle w:val="Compact"/>
              <w:jc w:val="left"/>
            </w:pPr>
            <w:r>
              <w:rPr>
                <w:b/>
              </w:rPr>
              <w:t xml:space="preserve">Registration Number</w:t>
            </w:r>
          </w:p>
        </w:tc>
        <w:tc>
          <w:p>
            <w:pPr>
              <w:pStyle w:val="Compact"/>
              <w:jc w:val="left"/>
            </w:pPr>
            <w:r>
              <w:t xml:space="preserve">2025/542019/07</w:t>
            </w:r>
          </w:p>
        </w:tc>
        <w:tc>
          <w:p>
            <w:pPr>
              <w:pStyle w:val="Compact"/>
              <w:jc w:val="left"/>
            </w:pPr>
            <w:r>
              <w:t xml:space="preserve">Confirm it is correctly entered</w:t>
            </w:r>
          </w:p>
        </w:tc>
      </w:tr>
      <w:tr>
        <w:tc>
          <w:p>
            <w:pPr>
              <w:pStyle w:val="Compact"/>
              <w:jc w:val="left"/>
            </w:pPr>
            <w:r>
              <w:rPr>
                <w:b/>
              </w:rPr>
              <w:t xml:space="preserve">Country of Registration</w:t>
            </w:r>
          </w:p>
        </w:tc>
        <w:tc>
          <w:p>
            <w:pPr>
              <w:pStyle w:val="Compact"/>
              <w:jc w:val="left"/>
            </w:pPr>
            <w:r>
              <w:t xml:space="preserve">South Africa</w:t>
            </w:r>
          </w:p>
        </w:tc>
        <w:tc>
          <w:p>
            <w:pPr>
              <w:pStyle w:val="Compact"/>
              <w:jc w:val="left"/>
            </w:pPr>
            <w:r>
              <w:t xml:space="preserve">—</w:t>
            </w:r>
          </w:p>
        </w:tc>
      </w:tr>
      <w:tr>
        <w:tc>
          <w:p>
            <w:pPr>
              <w:pStyle w:val="Compact"/>
              <w:jc w:val="left"/>
            </w:pPr>
            <w:r>
              <w:rPr>
                <w:b/>
              </w:rPr>
              <w:t xml:space="preserve">Province</w:t>
            </w:r>
          </w:p>
        </w:tc>
        <w:tc>
          <w:p>
            <w:pPr>
              <w:pStyle w:val="Compact"/>
              <w:jc w:val="left"/>
            </w:pPr>
            <w:r>
              <w:t xml:space="preserve">KwaZulu-Natal</w:t>
            </w:r>
          </w:p>
        </w:tc>
        <w:tc>
          <w:p>
            <w:pPr>
              <w:pStyle w:val="Compact"/>
              <w:jc w:val="left"/>
            </w:pPr>
            <w:r>
              <w:t xml:space="preserve">—</w:t>
            </w:r>
          </w:p>
        </w:tc>
      </w:tr>
      <w:tr>
        <w:tc>
          <w:p>
            <w:pPr>
              <w:pStyle w:val="Compact"/>
              <w:jc w:val="left"/>
            </w:pPr>
            <w:r>
              <w:rPr>
                <w:b/>
              </w:rPr>
              <w:t xml:space="preserve">Physical Address</w:t>
            </w:r>
          </w:p>
        </w:tc>
        <w:tc>
          <w:p>
            <w:pPr>
              <w:pStyle w:val="Compact"/>
              <w:jc w:val="left"/>
            </w:pPr>
            <w:r>
              <w:t xml:space="preserve">1 Shantally Close, Milarina Gardens, Durban, KwaZulu-Natal</w:t>
            </w:r>
          </w:p>
        </w:tc>
        <w:tc>
          <w:p>
            <w:pPr>
              <w:pStyle w:val="Compact"/>
              <w:jc w:val="left"/>
            </w:pPr>
            <w:r>
              <w:t xml:space="preserve">Enter fully</w:t>
            </w:r>
          </w:p>
        </w:tc>
      </w:tr>
      <w:tr>
        <w:tc>
          <w:p>
            <w:pPr>
              <w:pStyle w:val="Compact"/>
              <w:jc w:val="left"/>
            </w:pPr>
            <w:r>
              <w:rPr>
                <w:b/>
              </w:rPr>
              <w:t xml:space="preserve">Postal Address</w:t>
            </w:r>
          </w:p>
        </w:tc>
        <w:tc>
          <w:p>
            <w:pPr>
              <w:pStyle w:val="Compact"/>
              <w:jc w:val="left"/>
            </w:pPr>
            <w:r>
              <w:t xml:space="preserve">Same as physical</w:t>
            </w:r>
          </w:p>
        </w:tc>
        <w:tc>
          <w:p>
            <w:pPr>
              <w:pStyle w:val="Compact"/>
              <w:jc w:val="left"/>
            </w:pPr>
            <w:r>
              <w:t xml:space="preserve">—</w:t>
            </w:r>
          </w:p>
        </w:tc>
      </w:tr>
      <w:tr>
        <w:tc>
          <w:p>
            <w:pPr>
              <w:pStyle w:val="Compact"/>
              <w:jc w:val="left"/>
            </w:pPr>
            <w:r>
              <w:rPr>
                <w:b/>
              </w:rPr>
              <w:t xml:space="preserve">Year of Establishment</w:t>
            </w:r>
          </w:p>
        </w:tc>
        <w:tc>
          <w:p>
            <w:pPr>
              <w:pStyle w:val="Compact"/>
              <w:jc w:val="left"/>
            </w:pPr>
            <w:r>
              <w:t xml:space="preserve">2025</w:t>
            </w:r>
          </w:p>
        </w:tc>
        <w:tc>
          <w:p>
            <w:pPr>
              <w:pStyle w:val="Compact"/>
              <w:jc w:val="left"/>
            </w:pPr>
            <w:r>
              <w:t xml:space="preserve">—</w:t>
            </w:r>
          </w:p>
        </w:tc>
      </w:tr>
      <w:tr>
        <w:tc>
          <w:p>
            <w:pPr>
              <w:pStyle w:val="Compact"/>
              <w:jc w:val="left"/>
            </w:pPr>
            <w:r>
              <w:rPr>
                <w:b/>
              </w:rPr>
              <w:t xml:space="preserve">Company Size</w:t>
            </w:r>
          </w:p>
        </w:tc>
        <w:tc>
          <w:p>
            <w:pPr>
              <w:pStyle w:val="Compact"/>
              <w:jc w:val="left"/>
            </w:pPr>
            <w:r>
              <w:t xml:space="preserve">Micro Enterprise (EME)</w:t>
            </w:r>
          </w:p>
        </w:tc>
        <w:tc>
          <w:p>
            <w:pPr>
              <w:pStyle w:val="Compact"/>
              <w:jc w:val="left"/>
            </w:pPr>
            <w:r>
              <w:t xml:space="preserve">Select correct category</w:t>
            </w:r>
          </w:p>
        </w:tc>
      </w:tr>
      <w:tr>
        <w:tc>
          <w:p>
            <w:pPr>
              <w:pStyle w:val="Compact"/>
              <w:jc w:val="left"/>
            </w:pPr>
            <w:r>
              <w:rPr>
                <w:b/>
              </w:rPr>
              <w:t xml:space="preserve">Annual Turnover</w:t>
            </w:r>
          </w:p>
        </w:tc>
        <w:tc>
          <w:p>
            <w:pPr>
              <w:pStyle w:val="Compact"/>
              <w:jc w:val="left"/>
            </w:pPr>
            <w:r>
              <w:t xml:space="preserve">Less than R10 million</w:t>
            </w:r>
          </w:p>
        </w:tc>
        <w:tc>
          <w:p>
            <w:pPr>
              <w:pStyle w:val="Compact"/>
              <w:jc w:val="left"/>
            </w:pPr>
            <w:r>
              <w:t xml:space="preserve">Select correct band</w:t>
            </w:r>
          </w:p>
        </w:tc>
      </w:tr>
    </w:tbl>
    <w:p>
      <w:r>
        <w:pict>
          <v:rect style="width:0;height:1.5pt" o:hralign="center" o:hrstd="t" o:hr="t"/>
        </w:pict>
      </w:r>
    </w:p>
    <w:p>
      <w:pPr>
        <w:pStyle w:val="Heading3"/>
      </w:pPr>
      <w:bookmarkStart w:id="27" w:name="step-3-update-contact-information"/>
      <w:r>
        <w:t xml:space="preserve">Step 3 — Update Contact Information</w:t>
      </w:r>
      <w:bookmarkEnd w:id="2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Required Value</w:t>
            </w:r>
          </w:p>
        </w:tc>
        <w:tc>
          <w:tcPr>
            <w:tcBorders>
              <w:bottom w:val="single"/>
            </w:tcBorders>
            <w:vAlign w:val="bottom"/>
          </w:tcPr>
          <w:p>
            <w:pPr>
              <w:pStyle w:val="Compact"/>
              <w:jc w:val="left"/>
            </w:pPr>
            <w:r>
              <w:t xml:space="preserve">Notes</w:t>
            </w:r>
          </w:p>
        </w:tc>
      </w:tr>
      <w:tr>
        <w:tc>
          <w:p>
            <w:pPr>
              <w:pStyle w:val="Compact"/>
              <w:jc w:val="left"/>
            </w:pPr>
            <w:r>
              <w:rPr>
                <w:b/>
              </w:rPr>
              <w:t xml:space="preserve">Primary Contact Person</w:t>
            </w:r>
          </w:p>
        </w:tc>
        <w:tc>
          <w:p>
            <w:pPr>
              <w:pStyle w:val="Compact"/>
              <w:jc w:val="left"/>
            </w:pPr>
            <w:r>
              <w:t xml:space="preserve">Bongumusa Mthembu [VERIFY full legal name against CIPC]</w:t>
            </w:r>
          </w:p>
        </w:tc>
        <w:tc>
          <w:p>
            <w:pPr>
              <w:pStyle w:val="Compact"/>
              <w:jc w:val="left"/>
            </w:pPr>
            <w:r>
              <w:t xml:space="preserve">Director</w:t>
            </w:r>
          </w:p>
        </w:tc>
      </w:tr>
      <w:tr>
        <w:tc>
          <w:p>
            <w:pPr>
              <w:pStyle w:val="Compact"/>
              <w:jc w:val="left"/>
            </w:pPr>
            <w:r>
              <w:rPr>
                <w:b/>
              </w:rPr>
              <w:t xml:space="preserve">Primary Contact Phone</w:t>
            </w:r>
          </w:p>
        </w:tc>
        <w:tc>
          <w:p>
            <w:pPr>
              <w:pStyle w:val="Compact"/>
              <w:jc w:val="left"/>
            </w:pPr>
            <w:r>
              <w:t xml:space="preserve">066 213 6607</w:t>
            </w:r>
          </w:p>
        </w:tc>
        <w:tc>
          <w:p>
            <w:pPr>
              <w:pStyle w:val="Compact"/>
              <w:jc w:val="left"/>
            </w:pPr>
            <w:r>
              <w:t xml:space="preserve">—</w:t>
            </w:r>
          </w:p>
        </w:tc>
      </w:tr>
      <w:tr>
        <w:tc>
          <w:p>
            <w:pPr>
              <w:pStyle w:val="Compact"/>
              <w:jc w:val="left"/>
            </w:pPr>
            <w:r>
              <w:rPr>
                <w:b/>
              </w:rPr>
              <w:t xml:space="preserve">Primary Contact Email</w:t>
            </w:r>
          </w:p>
        </w:tc>
        <w:tc>
          <w:p>
            <w:pPr>
              <w:pStyle w:val="Compact"/>
              <w:jc w:val="left"/>
            </w:pPr>
            <w:r>
              <w:t xml:space="preserve">info@proaxissolutions.co.za</w:t>
            </w:r>
          </w:p>
        </w:tc>
        <w:tc>
          <w:p>
            <w:pPr>
              <w:pStyle w:val="Compact"/>
              <w:jc w:val="left"/>
            </w:pPr>
            <w:r>
              <w:rPr>
                <w:b/>
              </w:rPr>
              <w:t xml:space="preserve">Update once business email is active</w:t>
            </w:r>
            <w:r>
              <w:t xml:space="preserve"> — currently use willsonjohnny430@gmail.com temporarily</w:t>
            </w:r>
          </w:p>
        </w:tc>
      </w:tr>
      <w:tr>
        <w:tc>
          <w:p>
            <w:pPr>
              <w:pStyle w:val="Compact"/>
              <w:jc w:val="left"/>
            </w:pPr>
            <w:r>
              <w:rPr>
                <w:b/>
              </w:rPr>
              <w:t xml:space="preserve">Website</w:t>
            </w:r>
          </w:p>
        </w:tc>
        <w:tc>
          <w:p>
            <w:pPr>
              <w:pStyle w:val="Compact"/>
              <w:jc w:val="left"/>
            </w:pPr>
            <w:r>
              <w:t xml:space="preserve">www.proaxissolutions.co.za</w:t>
            </w:r>
          </w:p>
        </w:tc>
        <w:tc>
          <w:p>
            <w:pPr>
              <w:pStyle w:val="Compact"/>
              <w:jc w:val="left"/>
            </w:pPr>
            <w:r>
              <w:t xml:space="preserve">Add if not already present</w:t>
            </w:r>
          </w:p>
        </w:tc>
      </w:tr>
    </w:tbl>
    <w:p>
      <w:pPr>
        <w:pStyle w:val="BlockText"/>
      </w:pPr>
      <w:r>
        <w:rPr>
          <w:b/>
        </w:rPr>
        <w:t xml:space="preserve">Important:</w:t>
      </w:r>
      <w:r>
        <w:t xml:space="preserve"> Using a personal Gmail address as the CSD contact email undermines professionalism in procurement evaluations. Update to the company domain email as soon as it is active.</w:t>
      </w:r>
    </w:p>
    <w:p>
      <w:r>
        <w:pict>
          <v:rect style="width:0;height:1.5pt" o:hralign="center" o:hrstd="t" o:hr="t"/>
        </w:pict>
      </w:r>
    </w:p>
    <w:p>
      <w:pPr>
        <w:pStyle w:val="Heading3"/>
      </w:pPr>
      <w:bookmarkStart w:id="28" w:name="step-4-update-tax-information"/>
      <w:r>
        <w:t xml:space="preserve">Step 4 — Update Tax Information</w:t>
      </w:r>
      <w:bookmarkEnd w:id="2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Required Value</w:t>
            </w:r>
          </w:p>
        </w:tc>
        <w:tc>
          <w:tcPr>
            <w:tcBorders>
              <w:bottom w:val="single"/>
            </w:tcBorders>
            <w:vAlign w:val="bottom"/>
          </w:tcPr>
          <w:p>
            <w:pPr>
              <w:pStyle w:val="Compact"/>
              <w:jc w:val="left"/>
            </w:pPr>
            <w:r>
              <w:t xml:space="preserve">Action</w:t>
            </w:r>
          </w:p>
        </w:tc>
      </w:tr>
      <w:tr>
        <w:tc>
          <w:p>
            <w:pPr>
              <w:pStyle w:val="Compact"/>
              <w:jc w:val="left"/>
            </w:pPr>
            <w:r>
              <w:rPr>
                <w:b/>
              </w:rPr>
              <w:t xml:space="preserve">Tax Reference Number</w:t>
            </w:r>
          </w:p>
        </w:tc>
        <w:tc>
          <w:p>
            <w:pPr>
              <w:pStyle w:val="Compact"/>
              <w:jc w:val="left"/>
            </w:pPr>
            <w:r>
              <w:t xml:space="preserve">9007193338</w:t>
            </w:r>
          </w:p>
        </w:tc>
        <w:tc>
          <w:p>
            <w:pPr>
              <w:pStyle w:val="Compact"/>
              <w:jc w:val="left"/>
            </w:pPr>
            <w:r>
              <w:t xml:space="preserve">Confirm</w:t>
            </w:r>
          </w:p>
        </w:tc>
      </w:tr>
      <w:tr>
        <w:tc>
          <w:p>
            <w:pPr>
              <w:pStyle w:val="Compact"/>
              <w:jc w:val="left"/>
            </w:pPr>
            <w:r>
              <w:rPr>
                <w:b/>
              </w:rPr>
              <w:t xml:space="preserve">VAT Number</w:t>
            </w:r>
          </w:p>
        </w:tc>
        <w:tc>
          <w:p>
            <w:pPr>
              <w:pStyle w:val="Compact"/>
              <w:jc w:val="left"/>
            </w:pPr>
            <w:r>
              <w:t xml:space="preserve">Not applicable (not VAT registered)</w:t>
            </w:r>
          </w:p>
        </w:tc>
        <w:tc>
          <w:p>
            <w:pPr>
              <w:pStyle w:val="Compact"/>
              <w:jc w:val="left"/>
            </w:pPr>
            <w:r>
              <w:t>Leave blank or select “Not Registered”</w:t>
            </w:r>
          </w:p>
        </w:tc>
      </w:tr>
      <w:tr>
        <w:tc>
          <w:p>
            <w:pPr>
              <w:pStyle w:val="Compact"/>
              <w:jc w:val="left"/>
            </w:pPr>
            <w:r>
              <w:rPr>
                <w:b/>
              </w:rPr>
              <w:t xml:space="preserve">Tax Compliance Status (TCS) PIN</w:t>
            </w:r>
          </w:p>
        </w:tc>
        <w:tc>
          <w:p>
            <w:pPr>
              <w:pStyle w:val="Compact"/>
              <w:jc w:val="left"/>
            </w:pPr>
            <w:r>
              <w:t xml:space="preserve">[TO BE OBTAINED]</w:t>
            </w:r>
          </w:p>
        </w:tc>
        <w:tc>
          <w:p>
            <w:pPr>
              <w:pStyle w:val="Compact"/>
              <w:jc w:val="left"/>
            </w:pPr>
            <w:r>
              <w:t xml:space="preserve">Link once TCS PIN is obtained</w:t>
            </w:r>
          </w:p>
        </w:tc>
      </w:tr>
    </w:tbl>
    <w:p>
      <w:r>
        <w:pict>
          <v:rect style="width:0;height:1.5pt" o:hralign="center" o:hrstd="t" o:hr="t"/>
        </w:pict>
      </w:r>
    </w:p>
    <w:p>
      <w:pPr>
        <w:pStyle w:val="Heading3"/>
      </w:pPr>
      <w:bookmarkStart w:id="29" w:name="step-5-link-tcs-pin"/>
      <w:r>
        <w:t xml:space="preserve">Step 5 — Link TCS PIN</w:t>
      </w:r>
      <w:bookmarkEnd w:id="29"/>
    </w:p>
    <w:p>
      <w:pPr>
        <w:pStyle w:val="FirstParagraph"/>
      </w:pPr>
      <w:r>
        <w:t xml:space="preserve">Once the TCS PIN has been obtained from SARS eFiling:</w:t>
      </w:r>
    </w:p>
    <w:p>
      <w:pPr>
        <w:numPr>
          <w:ilvl w:val="0"/>
          <w:numId w:val="1002"/>
        </w:numPr>
        <w:pStyle w:val="Compact"/>
      </w:pPr>
      <w:r>
        <w:t xml:space="preserve">Navigate to the Tax Compliance section on CSD.</w:t>
      </w:r>
    </w:p>
    <w:p>
      <w:pPr>
        <w:numPr>
          <w:ilvl w:val="0"/>
          <w:numId w:val="1002"/>
        </w:numPr>
        <w:pStyle w:val="Compact"/>
      </w:pPr>
      <w:r>
        <w:t xml:space="preserve">Enter the TCS PIN.</w:t>
      </w:r>
    </w:p>
    <w:p>
      <w:pPr>
        <w:numPr>
          <w:ilvl w:val="0"/>
          <w:numId w:val="1002"/>
        </w:numPr>
        <w:pStyle w:val="Compact"/>
      </w:pPr>
      <w:r>
        <w:t xml:space="preserve">Enter the TCS PIN expiry date.</w:t>
      </w:r>
    </w:p>
    <w:p>
      <w:pPr>
        <w:numPr>
          <w:ilvl w:val="0"/>
          <w:numId w:val="1002"/>
        </w:numPr>
        <w:pStyle w:val="Compact"/>
      </w:pPr>
      <w:r>
        <w:t xml:space="preserve">Save.</w:t>
      </w:r>
    </w:p>
    <w:p>
      <w:pPr>
        <w:numPr>
          <w:ilvl w:val="0"/>
          <w:numId w:val="1002"/>
        </w:numPr>
        <w:pStyle w:val="Compact"/>
      </w:pPr>
      <w:r>
        <w:t>Verify that the TCS status shows as “Compliant” or “Active”.</w:t>
      </w:r>
    </w:p>
    <w:p>
      <w:pPr>
        <w:pStyle w:val="BlockText"/>
      </w:pPr>
      <w:r>
        <w:t xml:space="preserve">This step cannot be completed until the TCS PIN Action Plan has been executed. </w:t>
      </w:r>
      <w:r>
        <w:rPr>
          <w:b/>
        </w:rPr>
        <w:t xml:space="preserve">No tender can be submitted until this is done.</w:t>
      </w:r>
    </w:p>
    <w:p>
      <w:r>
        <w:pict>
          <v:rect style="width:0;height:1.5pt" o:hralign="center" o:hrstd="t" o:hr="t"/>
        </w:pict>
      </w:r>
    </w:p>
    <w:p>
      <w:pPr>
        <w:pStyle w:val="Heading3"/>
      </w:pPr>
      <w:bookmarkStart w:id="30" w:name="step-6-update-banking-details"/>
      <w:r>
        <w:t xml:space="preserve">Step 6 — Update Banking Details</w:t>
      </w:r>
      <w:bookmarkEnd w:id="30"/>
    </w:p>
    <w:p>
      <w:pPr>
        <w:numPr>
          <w:ilvl w:val="0"/>
          <w:numId w:val="1003"/>
        </w:numPr>
        <w:pStyle w:val="Compact"/>
      </w:pPr>
      <w:r>
        <w:t xml:space="preserve">Navigate to the Banking Details section on CSD.</w:t>
      </w:r>
    </w:p>
    <w:p>
      <w:pPr>
        <w:numPr>
          <w:ilvl w:val="0"/>
          <w:numId w:val="1003"/>
        </w:numPr>
        <w:pStyle w:val="Compact"/>
      </w:pPr>
      <w:r>
        <w:t xml:space="preserve">Enter:</w:t>
      </w:r>
    </w:p>
    <w:p>
      <w:pPr>
        <w:numPr>
          <w:ilvl w:val="1"/>
          <w:numId w:val="1004"/>
        </w:numPr>
        <w:pStyle w:val="Compact"/>
      </w:pPr>
      <w:r>
        <w:t xml:space="preserve">Bank: First National Bank (FNB)</w:t>
      </w:r>
    </w:p>
    <w:p>
      <w:pPr>
        <w:numPr>
          <w:ilvl w:val="1"/>
          <w:numId w:val="1004"/>
        </w:numPr>
        <w:pStyle w:val="Compact"/>
      </w:pPr>
      <w:r>
        <w:t xml:space="preserve">Account Type: Business Zero / Business Current</w:t>
      </w:r>
    </w:p>
    <w:p>
      <w:pPr>
        <w:numPr>
          <w:ilvl w:val="1"/>
          <w:numId w:val="1004"/>
        </w:numPr>
        <w:pStyle w:val="Compact"/>
      </w:pPr>
      <w:r>
        <w:t xml:space="preserve">Account Holder: Proaxis Solutions (Pty) Ltd</w:t>
      </w:r>
    </w:p>
    <w:p>
      <w:pPr>
        <w:numPr>
          <w:ilvl w:val="1"/>
          <w:numId w:val="1004"/>
        </w:numPr>
        <w:pStyle w:val="Compact"/>
      </w:pPr>
      <w:r>
        <w:t xml:space="preserve">Account Number: [OBTAIN FROM FNB — do not guess]</w:t>
      </w:r>
    </w:p>
    <w:p>
      <w:pPr>
        <w:numPr>
          <w:ilvl w:val="1"/>
          <w:numId w:val="1004"/>
        </w:numPr>
        <w:pStyle w:val="Compact"/>
      </w:pPr>
      <w:r>
        <w:t xml:space="preserve">Branch Code: [CONFIRM FROM FNB OR BANK STATEMENT]</w:t>
      </w:r>
    </w:p>
    <w:p>
      <w:pPr>
        <w:numPr>
          <w:ilvl w:val="0"/>
          <w:numId w:val="1003"/>
        </w:numPr>
        <w:pStyle w:val="Compact"/>
      </w:pPr>
      <w:r>
        <w:t xml:space="preserve">Upload a </w:t>
      </w:r>
      <w:r>
        <w:rPr>
          <w:b/>
        </w:rPr>
        <w:t xml:space="preserve">bank verification letter</w:t>
      </w:r>
      <w:r>
        <w:t xml:space="preserve"> (dated within 3 months).</w:t>
      </w:r>
    </w:p>
    <w:p>
      <w:pPr>
        <w:numPr>
          <w:ilvl w:val="0"/>
          <w:numId w:val="1003"/>
        </w:numPr>
        <w:pStyle w:val="Compact"/>
      </w:pPr>
      <w:r>
        <w:t xml:space="preserve">The bank will need to verify the account — follow CSD prompts.</w:t>
      </w:r>
    </w:p>
    <w:p>
      <w:pPr>
        <w:pStyle w:val="BlockText"/>
      </w:pPr>
      <w:r>
        <w:t xml:space="preserve">Obtain the bank verification letter from FNB directly (via online banking, a branch visit, or by calling FNB Business banking).</w:t>
      </w:r>
    </w:p>
    <w:p>
      <w:r>
        <w:pict>
          <v:rect style="width:0;height:1.5pt" o:hralign="center" o:hrstd="t" o:hr="t"/>
        </w:pict>
      </w:r>
    </w:p>
    <w:p>
      <w:pPr>
        <w:pStyle w:val="Heading3"/>
      </w:pPr>
      <w:bookmarkStart w:id="31" w:name="step-7-upload-b-bbee-documentation"/>
      <w:r>
        <w:t xml:space="preserve">Step 7 — Upload B-BBEE Documentation</w:t>
      </w:r>
      <w:bookmarkEnd w:id="31"/>
    </w:p>
    <w:p>
      <w:pPr>
        <w:numPr>
          <w:ilvl w:val="0"/>
          <w:numId w:val="1005"/>
        </w:numPr>
        <w:pStyle w:val="Compact"/>
      </w:pPr>
      <w:r>
        <w:t xml:space="preserve">Navigate to the B-BBEE section on CSD.</w:t>
      </w:r>
    </w:p>
    <w:p>
      <w:pPr>
        <w:numPr>
          <w:ilvl w:val="0"/>
          <w:numId w:val="1005"/>
        </w:numPr>
        <w:pStyle w:val="Compact"/>
      </w:pPr>
      <w:r>
        <w:t xml:space="preserve">Upload the current B-BBEE certificate or EME sworn affidavit.</w:t>
      </w:r>
    </w:p>
    <w:p>
      <w:pPr>
        <w:numPr>
          <w:ilvl w:val="0"/>
          <w:numId w:val="1005"/>
        </w:numPr>
        <w:pStyle w:val="Compact"/>
      </w:pPr>
      <w:r>
        <w:t xml:space="preserve">Enter the expiry date: </w:t>
      </w:r>
      <w:r>
        <w:rPr>
          <w:b/>
        </w:rPr>
        <w:t xml:space="preserve">07 July 2026</w:t>
      </w:r>
      <w:r>
        <w:t xml:space="preserve"> (current certificate).</w:t>
      </w:r>
    </w:p>
    <w:p>
      <w:pPr>
        <w:numPr>
          <w:ilvl w:val="0"/>
          <w:numId w:val="1005"/>
        </w:numPr>
        <w:pStyle w:val="Compact"/>
      </w:pPr>
      <w:r>
        <w:rPr>
          <w:b/>
        </w:rPr>
        <w:t xml:space="preserve">Action required:</w:t>
      </w:r>
      <w:r>
        <w:t xml:space="preserve"> Commission a new EME sworn affidavit before 30 June 2026 and upload the new affidavit once commissioned. Update the expiry date on CSD immediately.</w:t>
      </w:r>
    </w:p>
    <w:p>
      <w:r>
        <w:pict>
          <v:rect style="width:0;height:1.5pt" o:hralign="center" o:hrstd="t" o:hr="t"/>
        </w:pict>
      </w:r>
    </w:p>
    <w:p>
      <w:pPr>
        <w:pStyle w:val="Heading3"/>
      </w:pPr>
      <w:bookmarkStart w:id="32" w:name="step-8-update-company-description"/>
      <w:r>
        <w:t xml:space="preserve">Step 8 — Update Company Description</w:t>
      </w:r>
      <w:bookmarkEnd w:id="32"/>
    </w:p>
    <w:p>
      <w:pPr>
        <w:pStyle w:val="FirstParagraph"/>
      </w:pPr>
      <w:r>
        <w:t xml:space="preserve">The CSD company description must accurately represent Proaxis Solutions’ capabilities. Use the approved text below:</w:t>
      </w:r>
    </w:p>
    <w:p>
      <w:pPr>
        <w:pStyle w:val="BodyText"/>
      </w:pPr>
      <w:r>
        <w:rPr>
          <w:b/>
        </w:rPr>
        <w:t xml:space="preserve">Approved CSD Company Description:</w:t>
      </w:r>
    </w:p>
    <w:p>
      <w:pPr>
        <w:pStyle w:val="BlockText"/>
      </w:pPr>
      <w:r>
        <w:t xml:space="preserve">"Proaxis Solutions (Pty) Ltd is a South African technology company specialising in artificial intelligence automation, custom software engineering, and digital transformation. We design, build, and deploy AI-powered software solutions that enable government and enterprise clients to automate processes, reduce operational costs, and improve service delivery.</w:t>
      </w:r>
    </w:p>
    <w:p>
      <w:pPr>
        <w:pStyle w:val="BlockText"/>
      </w:pPr>
      <w:r>
        <w:t xml:space="preserve">Our capabilities include: custom software development (web, mobile, API integration), AI and machine learning automation, business process automation, data analytics and reporting, website development, and technology advisory services.</w:t>
      </w:r>
    </w:p>
    <w:p>
      <w:pPr>
        <w:pStyle w:val="BlockText"/>
      </w:pPr>
      <w:r>
        <w:t xml:space="preserve">Proaxis Solutions is a B-BBEE Level 1 Contributor and Exempted Micro Enterprise (EME), offering clients maximum B-BBEE procurement value at competitive pricing. We are registered with CIPC (2025/542019/07), SARS, and the Central Supplier Database (CSD), and are compliant with POPIA and PAIA requirements.</w:t>
      </w:r>
    </w:p>
    <w:p>
      <w:pPr>
        <w:pStyle w:val="BlockText"/>
      </w:pPr>
      <w:r>
        <w:t xml:space="preserve">We are committed to delivering technically excellent, commercially pragmatic, and ethically governed technology solutions."</w:t>
      </w:r>
    </w:p>
    <w:p>
      <w:r>
        <w:pict>
          <v:rect style="width:0;height:1.5pt" o:hralign="center" o:hrstd="t" o:hr="t"/>
        </w:pict>
      </w:r>
    </w:p>
    <w:p>
      <w:pPr>
        <w:pStyle w:val="Heading3"/>
      </w:pPr>
      <w:bookmarkStart w:id="33" w:name="step-9-add-unspsc-commodity-codes"/>
      <w:r>
        <w:t xml:space="preserve">Step 9 — Add UNSPSC Commodity Codes</w:t>
      </w:r>
      <w:bookmarkEnd w:id="33"/>
    </w:p>
    <w:p>
      <w:pPr>
        <w:pStyle w:val="FirstParagraph"/>
      </w:pPr>
      <w:r>
        <w:t xml:space="preserve">Navigate to the Commodity Codes section and add the following codes [VERIFY: current UNSPSC codes available on CSD]:</w:t>
      </w:r>
    </w:p>
    <w:tbl>
      <w:tblPr>
        <w:tblStyle w:val="Table"/>
        <w:tblW w:type="pct" w:w="0.0"/>
        <w:tblLook w:firstRow="1"/>
      </w:tblPr>
      <w:tblGrid/>
      <w:tr>
        <w:trPr>
          <w:cnfStyle w:firstRow="1"/>
        </w:trPr>
        <w:tc>
          <w:tcPr>
            <w:tcBorders>
              <w:bottom w:val="single"/>
            </w:tcBorders>
            <w:vAlign w:val="bottom"/>
          </w:tcPr>
          <w:p>
            <w:pPr>
              <w:pStyle w:val="Compact"/>
              <w:jc w:val="left"/>
            </w:pPr>
            <w:r>
              <w:t xml:space="preserve">UNSPSC Code</w:t>
            </w:r>
          </w:p>
        </w:tc>
        <w:tc>
          <w:tcPr>
            <w:tcBorders>
              <w:bottom w:val="single"/>
            </w:tcBorders>
            <w:vAlign w:val="bottom"/>
          </w:tcPr>
          <w:p>
            <w:pPr>
              <w:pStyle w:val="Compact"/>
              <w:jc w:val="left"/>
            </w:pPr>
            <w:r>
              <w:t xml:space="preserve">Description</w:t>
            </w:r>
          </w:p>
        </w:tc>
      </w:tr>
      <w:tr>
        <w:tc>
          <w:p>
            <w:pPr>
              <w:pStyle w:val="Compact"/>
              <w:jc w:val="left"/>
            </w:pPr>
            <w:r>
              <w:t xml:space="preserve">81111500</w:t>
            </w:r>
          </w:p>
        </w:tc>
        <w:tc>
          <w:p>
            <w:pPr>
              <w:pStyle w:val="Compact"/>
              <w:jc w:val="left"/>
            </w:pPr>
            <w:r>
              <w:t xml:space="preserve">Computer programming services</w:t>
            </w:r>
          </w:p>
        </w:tc>
      </w:tr>
      <w:tr>
        <w:tc>
          <w:p>
            <w:pPr>
              <w:pStyle w:val="Compact"/>
              <w:jc w:val="left"/>
            </w:pPr>
            <w:r>
              <w:t xml:space="preserve">81111600</w:t>
            </w:r>
          </w:p>
        </w:tc>
        <w:tc>
          <w:p>
            <w:pPr>
              <w:pStyle w:val="Compact"/>
              <w:jc w:val="left"/>
            </w:pPr>
            <w:r>
              <w:t xml:space="preserve">Systems analysis and programming services</w:t>
            </w:r>
          </w:p>
        </w:tc>
      </w:tr>
      <w:tr>
        <w:tc>
          <w:p>
            <w:pPr>
              <w:pStyle w:val="Compact"/>
              <w:jc w:val="left"/>
            </w:pPr>
            <w:r>
              <w:t xml:space="preserve">81111700</w:t>
            </w:r>
          </w:p>
        </w:tc>
        <w:tc>
          <w:p>
            <w:pPr>
              <w:pStyle w:val="Compact"/>
              <w:jc w:val="left"/>
            </w:pPr>
            <w:r>
              <w:t xml:space="preserve">Business intelligence consulting services</w:t>
            </w:r>
          </w:p>
        </w:tc>
      </w:tr>
      <w:tr>
        <w:tc>
          <w:p>
            <w:pPr>
              <w:pStyle w:val="Compact"/>
              <w:jc w:val="left"/>
            </w:pPr>
            <w:r>
              <w:t xml:space="preserve">81112000</w:t>
            </w:r>
          </w:p>
        </w:tc>
        <w:tc>
          <w:p>
            <w:pPr>
              <w:pStyle w:val="Compact"/>
              <w:jc w:val="left"/>
            </w:pPr>
            <w:r>
              <w:t xml:space="preserve">Information technology consultation services</w:t>
            </w:r>
          </w:p>
        </w:tc>
      </w:tr>
      <w:tr>
        <w:tc>
          <w:p>
            <w:pPr>
              <w:pStyle w:val="Compact"/>
              <w:jc w:val="left"/>
            </w:pPr>
            <w:r>
              <w:t xml:space="preserve">81112100</w:t>
            </w:r>
          </w:p>
        </w:tc>
        <w:tc>
          <w:p>
            <w:pPr>
              <w:pStyle w:val="Compact"/>
              <w:jc w:val="left"/>
            </w:pPr>
            <w:r>
              <w:t xml:space="preserve">System and network engineering services</w:t>
            </w:r>
          </w:p>
        </w:tc>
      </w:tr>
      <w:tr>
        <w:tc>
          <w:p>
            <w:pPr>
              <w:pStyle w:val="Compact"/>
              <w:jc w:val="left"/>
            </w:pPr>
            <w:r>
              <w:t xml:space="preserve">43232600</w:t>
            </w:r>
          </w:p>
        </w:tc>
        <w:tc>
          <w:p>
            <w:pPr>
              <w:pStyle w:val="Compact"/>
              <w:jc w:val="left"/>
            </w:pPr>
            <w:r>
              <w:t xml:space="preserve">Application development software</w:t>
            </w:r>
          </w:p>
        </w:tc>
      </w:tr>
    </w:tbl>
    <w:p>
      <w:pPr>
        <w:pStyle w:val="BlockText"/>
      </w:pPr>
      <w:r>
        <w:t xml:space="preserve">Ensure that all selected codes genuinely reflect services Proaxis Solutions currently delivers. Do not select codes for services not yet offered (e.g., cybersecurity, cloud managed services).</w:t>
      </w:r>
    </w:p>
    <w:p>
      <w:r>
        <w:pict>
          <v:rect style="width:0;height:1.5pt" o:hralign="center" o:hrstd="t" o:hr="t"/>
        </w:pict>
      </w:r>
    </w:p>
    <w:p>
      <w:pPr>
        <w:pStyle w:val="Heading3"/>
      </w:pPr>
      <w:bookmarkStart w:id="34" w:name="X50d689b9f625e83719a176ff6fdcd2f11247bc3"/>
      <w:r>
        <w:t xml:space="preserve">Step 10 — Verify Director / Beneficial Owner Details</w:t>
      </w:r>
      <w:bookmarkEnd w:id="34"/>
    </w:p>
    <w:p>
      <w:pPr>
        <w:numPr>
          <w:ilvl w:val="0"/>
          <w:numId w:val="1006"/>
        </w:numPr>
        <w:pStyle w:val="Compact"/>
      </w:pPr>
      <w:r>
        <w:t xml:space="preserve">Navigate to the Director / Beneficial Owner section.</w:t>
      </w:r>
    </w:p>
    <w:p>
      <w:pPr>
        <w:numPr>
          <w:ilvl w:val="0"/>
          <w:numId w:val="1006"/>
        </w:numPr>
        <w:pStyle w:val="Compact"/>
      </w:pPr>
      <w:r>
        <w:t xml:space="preserve">Confirm that the director’s details are correctly recorded:</w:t>
      </w:r>
    </w:p>
    <w:p>
      <w:pPr>
        <w:numPr>
          <w:ilvl w:val="1"/>
          <w:numId w:val="1007"/>
        </w:numPr>
        <w:pStyle w:val="Compact"/>
      </w:pPr>
      <w:r>
        <w:rPr>
          <w:b/>
        </w:rPr>
        <w:t xml:space="preserve">Full Name:</w:t>
      </w:r>
      <w:r>
        <w:t xml:space="preserve"> Bongumusa Mthembu [VERIFY: full legal name against CIPC records]</w:t>
      </w:r>
    </w:p>
    <w:p>
      <w:pPr>
        <w:numPr>
          <w:ilvl w:val="1"/>
          <w:numId w:val="1007"/>
        </w:numPr>
        <w:pStyle w:val="Compact"/>
      </w:pPr>
      <w:r>
        <w:rPr>
          <w:b/>
        </w:rPr>
        <w:t xml:space="preserve">SA ID Number:</w:t>
      </w:r>
      <w:r>
        <w:t xml:space="preserve"> Confirm against CIPC records (do not enter from memory — verify against official documents)</w:t>
      </w:r>
    </w:p>
    <w:p>
      <w:pPr>
        <w:numPr>
          <w:ilvl w:val="1"/>
          <w:numId w:val="1007"/>
        </w:numPr>
        <w:pStyle w:val="Compact"/>
      </w:pPr>
      <w:r>
        <w:rPr>
          <w:b/>
        </w:rPr>
        <w:t xml:space="preserve">Role:</w:t>
      </w:r>
      <w:r>
        <w:t xml:space="preserve"> Director</w:t>
      </w:r>
    </w:p>
    <w:p>
      <w:pPr>
        <w:numPr>
          <w:ilvl w:val="0"/>
          <w:numId w:val="1006"/>
        </w:numPr>
        <w:pStyle w:val="Compact"/>
      </w:pPr>
      <w:r>
        <w:t xml:space="preserve">Ensure director details match CIPC records exactly.</w:t>
      </w:r>
    </w:p>
    <w:p>
      <w:r>
        <w:pict>
          <v:rect style="width:0;height:1.5pt" o:hralign="center" o:hrstd="t" o:hr="t"/>
        </w:pict>
      </w:r>
    </w:p>
    <w:p>
      <w:pPr>
        <w:pStyle w:val="Heading3"/>
      </w:pPr>
      <w:bookmarkStart w:id="35" w:name="step-11-upload-supporting-documents"/>
      <w:r>
        <w:t xml:space="preserve">Step 11 — Upload Supporting Documents</w:t>
      </w:r>
      <w:bookmarkEnd w:id="35"/>
    </w:p>
    <w:p>
      <w:pPr>
        <w:pStyle w:val="FirstParagraph"/>
      </w:pPr>
      <w:r>
        <w:t xml:space="preserve">Upload the following documents to the relevant sections: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Document</w:t>
            </w:r>
          </w:p>
        </w:tc>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Notes</w:t>
            </w:r>
          </w:p>
        </w:tc>
      </w:tr>
      <w:tr>
        <w:tc>
          <w:p>
            <w:pPr>
              <w:pStyle w:val="Compact"/>
              <w:jc w:val="left"/>
            </w:pPr>
            <w:r>
              <w:t xml:space="preserve">CIPC Certificate of Incorporation</w:t>
            </w:r>
          </w:p>
        </w:tc>
        <w:tc>
          <w:p>
            <w:pPr>
              <w:pStyle w:val="Compact"/>
              <w:jc w:val="left"/>
            </w:pPr>
            <w:r>
              <w:t xml:space="preserve">Company Registration</w:t>
            </w:r>
          </w:p>
        </w:tc>
        <w:tc>
          <w:p>
            <w:pPr>
              <w:pStyle w:val="Compact"/>
              <w:jc w:val="left"/>
            </w:pPr>
            <w:r>
              <w:t xml:space="preserve">—</w:t>
            </w:r>
          </w:p>
        </w:tc>
      </w:tr>
      <w:tr>
        <w:tc>
          <w:p>
            <w:pPr>
              <w:pStyle w:val="Compact"/>
              <w:jc w:val="left"/>
            </w:pPr>
            <w:r>
              <w:t xml:space="preserve">B-BBEE certificate / EME affidavit</w:t>
            </w:r>
          </w:p>
        </w:tc>
        <w:tc>
          <w:p>
            <w:pPr>
              <w:pStyle w:val="Compact"/>
              <w:jc w:val="left"/>
            </w:pPr>
            <w:r>
              <w:t xml:space="preserve">B-BBEE</w:t>
            </w:r>
          </w:p>
        </w:tc>
        <w:tc>
          <w:p>
            <w:pPr>
              <w:pStyle w:val="Compact"/>
              <w:jc w:val="left"/>
            </w:pPr>
            <w:r>
              <w:t xml:space="preserve">Ensure not expired</w:t>
            </w:r>
          </w:p>
        </w:tc>
      </w:tr>
      <w:tr>
        <w:tc>
          <w:p>
            <w:pPr>
              <w:pStyle w:val="Compact"/>
              <w:jc w:val="left"/>
            </w:pPr>
            <w:r>
              <w:t xml:space="preserve">Bank verification letter</w:t>
            </w:r>
          </w:p>
        </w:tc>
        <w:tc>
          <w:p>
            <w:pPr>
              <w:pStyle w:val="Compact"/>
              <w:jc w:val="left"/>
            </w:pPr>
            <w:r>
              <w:t xml:space="preserve">Banking</w:t>
            </w:r>
          </w:p>
        </w:tc>
        <w:tc>
          <w:p>
            <w:pPr>
              <w:pStyle w:val="Compact"/>
              <w:jc w:val="left"/>
            </w:pPr>
            <w:r>
              <w:t xml:space="preserve">Must be less than 3 months old</w:t>
            </w:r>
          </w:p>
        </w:tc>
      </w:tr>
      <w:tr>
        <w:tc>
          <w:p>
            <w:pPr>
              <w:pStyle w:val="Compact"/>
              <w:jc w:val="left"/>
            </w:pPr>
            <w:r>
              <w:t xml:space="preserve">PAIA Manual (optional but recommended)</w:t>
            </w:r>
          </w:p>
        </w:tc>
        <w:tc>
          <w:p>
            <w:pPr>
              <w:pStyle w:val="Compact"/>
              <w:jc w:val="left"/>
            </w:pPr>
            <w:r>
              <w:t xml:space="preserve">Compliance / Additional Documents</w:t>
            </w:r>
          </w:p>
        </w:tc>
        <w:tc>
          <w:p>
            <w:pPr>
              <w:pStyle w:val="Compact"/>
              <w:jc w:val="left"/>
            </w:pPr>
            <w:r>
              <w:t xml:space="preserve">Shows governance maturity</w:t>
            </w:r>
          </w:p>
        </w:tc>
      </w:tr>
    </w:tbl>
    <w:p>
      <w:r>
        <w:pict>
          <v:rect style="width:0;height:1.5pt" o:hralign="center" o:hrstd="t" o:hr="t"/>
        </w:pict>
      </w:r>
    </w:p>
    <w:p>
      <w:pPr>
        <w:pStyle w:val="Heading3"/>
      </w:pPr>
      <w:bookmarkStart w:id="36" w:name="step-12-final-profile-review"/>
      <w:r>
        <w:t xml:space="preserve">Step 12 — Final Profile Review</w:t>
      </w:r>
      <w:bookmarkEnd w:id="36"/>
    </w:p>
    <w:p>
      <w:pPr>
        <w:pStyle w:val="FirstParagraph"/>
      </w:pPr>
      <w:r>
        <w:t xml:space="preserve">Before submitting the optimised profile:</w:t>
      </w:r>
    </w:p>
    <w:p>
      <w:pPr>
        <w:numPr>
          <w:ilvl w:val="0"/>
          <w:numId w:val="1008"/>
        </w:numPr>
        <w:pStyle w:val="Compact"/>
      </w:pPr>
      <w:r>
        <w:t xml:space="preserve">☐ All mandatory fields completed</w:t>
      </w:r>
    </w:p>
    <w:p>
      <w:pPr>
        <w:numPr>
          <w:ilvl w:val="0"/>
          <w:numId w:val="1008"/>
        </w:numPr>
        <w:pStyle w:val="Compact"/>
      </w:pPr>
      <w:r>
        <w:t xml:space="preserve">☐ Company name matches CIPC exactly</w:t>
      </w:r>
    </w:p>
    <w:p>
      <w:pPr>
        <w:numPr>
          <w:ilvl w:val="0"/>
          <w:numId w:val="1008"/>
        </w:numPr>
        <w:pStyle w:val="Compact"/>
      </w:pPr>
      <w:r>
        <w:t xml:space="preserve">☐ TCS PIN linked and showing as active</w:t>
      </w:r>
    </w:p>
    <w:p>
      <w:pPr>
        <w:numPr>
          <w:ilvl w:val="0"/>
          <w:numId w:val="1008"/>
        </w:numPr>
        <w:pStyle w:val="Compact"/>
      </w:pPr>
      <w:r>
        <w:t xml:space="preserve">☐ Banking details verified</w:t>
      </w:r>
    </w:p>
    <w:p>
      <w:pPr>
        <w:numPr>
          <w:ilvl w:val="0"/>
          <w:numId w:val="1008"/>
        </w:numPr>
        <w:pStyle w:val="Compact"/>
      </w:pPr>
      <w:r>
        <w:t xml:space="preserve">☐ B-BBEE certificate uploaded and not expired</w:t>
      </w:r>
    </w:p>
    <w:p>
      <w:pPr>
        <w:numPr>
          <w:ilvl w:val="0"/>
          <w:numId w:val="1008"/>
        </w:numPr>
        <w:pStyle w:val="Compact"/>
      </w:pPr>
      <w:r>
        <w:t xml:space="preserve">☐ UNSPSC commodity codes reflect actual current services</w:t>
      </w:r>
    </w:p>
    <w:p>
      <w:pPr>
        <w:numPr>
          <w:ilvl w:val="0"/>
          <w:numId w:val="1008"/>
        </w:numPr>
        <w:pStyle w:val="Compact"/>
      </w:pPr>
      <w:r>
        <w:t xml:space="preserve">☐ Contact email is company domain (update once email is active)</w:t>
      </w:r>
    </w:p>
    <w:p>
      <w:pPr>
        <w:numPr>
          <w:ilvl w:val="0"/>
          <w:numId w:val="1008"/>
        </w:numPr>
        <w:pStyle w:val="Compact"/>
      </w:pPr>
      <w:r>
        <w:t xml:space="preserve">☐ Company description reflects technology / AI / software positioning</w:t>
      </w:r>
    </w:p>
    <w:p>
      <w:pPr>
        <w:numPr>
          <w:ilvl w:val="0"/>
          <w:numId w:val="1008"/>
        </w:numPr>
        <w:pStyle w:val="Compact"/>
      </w:pPr>
      <w:r>
        <w:t xml:space="preserve">☐ Director details match CIPC records</w:t>
      </w:r>
    </w:p>
    <w:p>
      <w:r>
        <w:pict>
          <v:rect style="width:0;height:1.5pt" o:hralign="center" o:hrstd="t" o:hr="t"/>
        </w:pict>
      </w:r>
    </w:p>
    <w:p>
      <w:pPr>
        <w:pStyle w:val="Heading2"/>
      </w:pPr>
      <w:bookmarkStart w:id="37" w:name="post-optimisation-maintenance"/>
      <w:r>
        <w:t xml:space="preserve">POST-OPTIMISATION MAINTENANCE</w:t>
      </w:r>
      <w:bookmarkEnd w:id="3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Action</w:t>
            </w:r>
          </w:p>
        </w:tc>
        <w:tc>
          <w:tcPr>
            <w:tcBorders>
              <w:bottom w:val="single"/>
            </w:tcBorders>
            <w:vAlign w:val="bottom"/>
          </w:tcPr>
          <w:p>
            <w:pPr>
              <w:pStyle w:val="Compact"/>
              <w:jc w:val="left"/>
            </w:pPr>
            <w:r>
              <w:t xml:space="preserve">Frequency</w:t>
            </w:r>
          </w:p>
        </w:tc>
      </w:tr>
      <w:tr>
        <w:tc>
          <w:p>
            <w:pPr>
              <w:pStyle w:val="Compact"/>
              <w:jc w:val="left"/>
            </w:pPr>
            <w:r>
              <w:t xml:space="preserve">Verify TCS PIN is still active</w:t>
            </w:r>
          </w:p>
        </w:tc>
        <w:tc>
          <w:p>
            <w:pPr>
              <w:pStyle w:val="Compact"/>
              <w:jc w:val="left"/>
            </w:pPr>
            <w:r>
              <w:t xml:space="preserve">Before every tender submission</w:t>
            </w:r>
          </w:p>
        </w:tc>
      </w:tr>
      <w:tr>
        <w:tc>
          <w:p>
            <w:pPr>
              <w:pStyle w:val="Compact"/>
              <w:jc w:val="left"/>
            </w:pPr>
            <w:r>
              <w:t xml:space="preserve">Check B-BBEE certificate / affidavit expiry</w:t>
            </w:r>
          </w:p>
        </w:tc>
        <w:tc>
          <w:p>
            <w:pPr>
              <w:pStyle w:val="Compact"/>
              <w:jc w:val="left"/>
            </w:pPr>
            <w:r>
              <w:t xml:space="preserve">Monthly — action immediately if within 60 days of expiry</w:t>
            </w:r>
          </w:p>
        </w:tc>
      </w:tr>
      <w:tr>
        <w:tc>
          <w:p>
            <w:pPr>
              <w:pStyle w:val="Compact"/>
              <w:jc w:val="left"/>
            </w:pPr>
            <w:r>
              <w:t xml:space="preserve">Update contact email to company domain</w:t>
            </w:r>
          </w:p>
        </w:tc>
        <w:tc>
          <w:p>
            <w:pPr>
              <w:pStyle w:val="Compact"/>
              <w:jc w:val="left"/>
            </w:pPr>
            <w:r>
              <w:t xml:space="preserve">Once business email is active</w:t>
            </w:r>
          </w:p>
        </w:tc>
      </w:tr>
      <w:tr>
        <w:tc>
          <w:p>
            <w:pPr>
              <w:pStyle w:val="Compact"/>
              <w:jc w:val="left"/>
            </w:pPr>
            <w:r>
              <w:t xml:space="preserve">Update banking details if account changes</w:t>
            </w:r>
          </w:p>
        </w:tc>
        <w:tc>
          <w:p>
            <w:pPr>
              <w:pStyle w:val="Compact"/>
              <w:jc w:val="left"/>
            </w:pPr>
            <w:r>
              <w:t xml:space="preserve">Immediately upon change</w:t>
            </w:r>
          </w:p>
        </w:tc>
      </w:tr>
      <w:tr>
        <w:tc>
          <w:p>
            <w:pPr>
              <w:pStyle w:val="Compact"/>
              <w:jc w:val="left"/>
            </w:pPr>
            <w:r>
              <w:t xml:space="preserve">Review and update company description</w:t>
            </w:r>
          </w:p>
        </w:tc>
        <w:tc>
          <w:p>
            <w:pPr>
              <w:pStyle w:val="Compact"/>
              <w:jc w:val="left"/>
            </w:pPr>
            <w:r>
              <w:t xml:space="preserve">Annually or when services change</w:t>
            </w:r>
          </w:p>
        </w:tc>
      </w:tr>
      <w:tr>
        <w:tc>
          <w:p>
            <w:pPr>
              <w:pStyle w:val="Compact"/>
              <w:jc w:val="left"/>
            </w:pPr>
            <w:r>
              <w:t xml:space="preserve">Review commodity codes</w:t>
            </w:r>
          </w:p>
        </w:tc>
        <w:tc>
          <w:p>
            <w:pPr>
              <w:pStyle w:val="Compact"/>
              <w:jc w:val="left"/>
            </w:pPr>
            <w:r>
              <w:t xml:space="preserve">Annually</w:t>
            </w:r>
          </w:p>
        </w:tc>
      </w:tr>
      <w:tr>
        <w:tc>
          <w:p>
            <w:pPr>
              <w:pStyle w:val="Compact"/>
              <w:jc w:val="left"/>
            </w:pPr>
            <w:r>
              <w:t xml:space="preserve">Check CSD profile status (Active / Inactive)</w:t>
            </w:r>
          </w:p>
        </w:tc>
        <w:tc>
          <w:p>
            <w:pPr>
              <w:pStyle w:val="Compact"/>
              <w:jc w:val="left"/>
            </w:pPr>
            <w:r>
              <w:t xml:space="preserve">Before every tender</w:t>
            </w:r>
          </w:p>
        </w:tc>
      </w:tr>
    </w:tbl>
    <w:p>
      <w:r>
        <w:pict>
          <v:rect style="width:0;height:1.5pt" o:hralign="center" o:hrstd="t" o:hr="t"/>
        </w:pict>
      </w:r>
    </w:p>
    <w:p>
      <w:pPr>
        <w:pStyle w:val="Heading2"/>
      </w:pPr>
      <w:bookmarkStart w:id="38" w:name="completion-tracker"/>
      <w:r>
        <w:t xml:space="preserve">COMPLETION TRACKER</w:t>
      </w:r>
      <w:bookmarkEnd w:id="38"/>
    </w:p>
    <w:tbl>
      <w:tblPr>
        <w:tblStyle w:val="Table"/>
        <w:tblW w:type="pct" w:w="0.0"/>
        <w:tblLook w:firstRow="1"/>
      </w:tblPr>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Date Completed</w:t>
            </w:r>
          </w:p>
        </w:tc>
        <w:tc>
          <w:tcPr>
            <w:tcBorders>
              <w:bottom w:val="single"/>
            </w:tcBorders>
            <w:vAlign w:val="bottom"/>
          </w:tcPr>
          <w:p>
            <w:pPr>
              <w:pStyle w:val="Compact"/>
              <w:jc w:val="left"/>
            </w:pPr>
            <w:r>
              <w:t xml:space="preserve">Notes</w:t>
            </w:r>
          </w:p>
        </w:tc>
      </w:tr>
      <w:tr>
        <w:tc>
          <w:p>
            <w:pPr>
              <w:pStyle w:val="Compact"/>
              <w:jc w:val="left"/>
            </w:pPr>
            <w:r>
              <w:t xml:space="preserve">1 — Logged into CSD</w:t>
            </w:r>
          </w:p>
        </w:tc>
        <w:tc>
          <w:p/>
        </w:tc>
        <w:tc>
          <w:p/>
        </w:tc>
      </w:tr>
      <w:tr>
        <w:tc>
          <w:p>
            <w:pPr>
              <w:pStyle w:val="Compact"/>
              <w:jc w:val="left"/>
            </w:pPr>
            <w:r>
              <w:t xml:space="preserve">2 — Company information updated</w:t>
            </w:r>
          </w:p>
        </w:tc>
        <w:tc>
          <w:p/>
        </w:tc>
        <w:tc>
          <w:p/>
        </w:tc>
      </w:tr>
      <w:tr>
        <w:tc>
          <w:p>
            <w:pPr>
              <w:pStyle w:val="Compact"/>
              <w:jc w:val="left"/>
            </w:pPr>
            <w:r>
              <w:t xml:space="preserve">3 — Contact information updated</w:t>
            </w:r>
          </w:p>
        </w:tc>
        <w:tc>
          <w:p/>
        </w:tc>
        <w:tc>
          <w:p/>
        </w:tc>
      </w:tr>
      <w:tr>
        <w:tc>
          <w:p>
            <w:pPr>
              <w:pStyle w:val="Compact"/>
              <w:jc w:val="left"/>
            </w:pPr>
            <w:r>
              <w:t xml:space="preserve">4 — Tax information verified</w:t>
            </w:r>
          </w:p>
        </w:tc>
        <w:tc>
          <w:p/>
        </w:tc>
        <w:tc>
          <w:p/>
        </w:tc>
      </w:tr>
      <w:tr>
        <w:tc>
          <w:p>
            <w:pPr>
              <w:pStyle w:val="Compact"/>
              <w:jc w:val="left"/>
            </w:pPr>
            <w:r>
              <w:t xml:space="preserve">5 — TCS PIN linked</w:t>
            </w:r>
          </w:p>
        </w:tc>
        <w:tc>
          <w:p/>
        </w:tc>
        <w:tc>
          <w:p/>
        </w:tc>
      </w:tr>
      <w:tr>
        <w:tc>
          <w:p>
            <w:pPr>
              <w:pStyle w:val="Compact"/>
              <w:jc w:val="left"/>
            </w:pPr>
            <w:r>
              <w:t xml:space="preserve">6 — Banking details updated</w:t>
            </w:r>
          </w:p>
        </w:tc>
        <w:tc>
          <w:p/>
        </w:tc>
        <w:tc>
          <w:p/>
        </w:tc>
      </w:tr>
      <w:tr>
        <w:tc>
          <w:p>
            <w:pPr>
              <w:pStyle w:val="Compact"/>
              <w:jc w:val="left"/>
            </w:pPr>
            <w:r>
              <w:t xml:space="preserve">7 — B-BBEE document uploaded</w:t>
            </w:r>
          </w:p>
        </w:tc>
        <w:tc>
          <w:p/>
        </w:tc>
        <w:tc>
          <w:p/>
        </w:tc>
      </w:tr>
      <w:tr>
        <w:tc>
          <w:p>
            <w:pPr>
              <w:pStyle w:val="Compact"/>
              <w:jc w:val="left"/>
            </w:pPr>
            <w:r>
              <w:t xml:space="preserve">8 — Company description updated</w:t>
            </w:r>
          </w:p>
        </w:tc>
        <w:tc>
          <w:p/>
        </w:tc>
        <w:tc>
          <w:p/>
        </w:tc>
      </w:tr>
      <w:tr>
        <w:tc>
          <w:p>
            <w:pPr>
              <w:pStyle w:val="Compact"/>
              <w:jc w:val="left"/>
            </w:pPr>
            <w:r>
              <w:t xml:space="preserve">9 — Commodity codes added</w:t>
            </w:r>
          </w:p>
        </w:tc>
        <w:tc>
          <w:p/>
        </w:tc>
        <w:tc>
          <w:p/>
        </w:tc>
      </w:tr>
      <w:tr>
        <w:tc>
          <w:p>
            <w:pPr>
              <w:pStyle w:val="Compact"/>
              <w:jc w:val="left"/>
            </w:pPr>
            <w:r>
              <w:t xml:space="preserve">10 — Director details verified</w:t>
            </w:r>
          </w:p>
        </w:tc>
        <w:tc>
          <w:p/>
        </w:tc>
        <w:tc>
          <w:p/>
        </w:tc>
      </w:tr>
      <w:tr>
        <w:tc>
          <w:p>
            <w:pPr>
              <w:pStyle w:val="Compact"/>
              <w:jc w:val="left"/>
            </w:pPr>
            <w:r>
              <w:t xml:space="preserve">11 — Documents uploaded</w:t>
            </w:r>
          </w:p>
        </w:tc>
        <w:tc>
          <w:p/>
        </w:tc>
        <w:tc>
          <w:p/>
        </w:tc>
      </w:tr>
      <w:tr>
        <w:tc>
          <w:p>
            <w:pPr>
              <w:pStyle w:val="Compact"/>
              <w:jc w:val="left"/>
            </w:pPr>
            <w:r>
              <w:t xml:space="preserve">12 — Final review completed</w:t>
            </w:r>
          </w:p>
        </w:tc>
        <w:tc>
          <w:p/>
        </w:tc>
        <w:tc>
          <w:p/>
        </w:tc>
      </w:tr>
    </w:tbl>
    <w:p>
      <w:r>
        <w:pict>
          <v:rect style="width:0;height:1.5pt" o:hralign="center" o:hrstd="t" o:hr="t"/>
        </w:pict>
      </w:r>
    </w:p>
    <w:p>
      <w:pPr>
        <w:pStyle w:val="FirstParagraph"/>
      </w:pPr>
      <w:r>
        <w:rPr>
          <w:i/>
        </w:rPr>
        <w:t xml:space="preserve">Proaxis Solutions (Pty) Ltd | Reg: 2025/542019/07 | CSD Registered</w:t>
      </w:r>
      <w:r>
        <w:br/>
      </w:r>
      <w:r>
        <w:rPr>
          <w:i/>
        </w:rPr>
        <w:t xml:space="preserve">Technology. Intelligence. Transformation.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2026-06-06T13:39:35Z</dcterms:created>
  <dcterms:modified xsi:type="dcterms:W3CDTF">2026-06-06T13:39:35Z</dcterms:modified>
</cp:coreProperties>
</file>

<file path=docProps/custom.xml><?xml version="1.0" encoding="utf-8"?>
<Properties xmlns="http://schemas.openxmlformats.org/officeDocument/2006/custom-properties" xmlns:vt="http://schemas.openxmlformats.org/officeDocument/2006/docPropsVTypes"/>
</file>