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pability-statement"/>
      <w:r>
        <w:t xml:space="preserve">CAPABILITY STATEMENT</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1.1</w:t>
        <w:br/>
      </w:r>
      <w:r>
        <w:rPr>
          <w:b/>
        </w:rPr>
        <w:t xml:space="preserve">Date:</w:t>
      </w:r>
      <w:r>
        <w:t xml:space="preserve"> 20 June 2026</w:t>
        <w:br/>
      </w:r>
      <w:r>
        <w:rPr>
          <w:b/>
        </w:rPr>
        <w:t xml:space="preserve">Use:</w:t>
      </w:r>
      <w:r>
        <w:t xml:space="preserve"> Tender submissions, supplier onboarding, client proposals</w:t>
      </w:r>
    </w:p>
    <w:p>
      <w:r>
        <w:pict>
          <v:rect style="width:0;height:1.5pt" o:hralign="center" o:hrstd="t" o:hr="t"/>
        </w:pict>
      </w:r>
    </w:p>
    <w:p>
      <w:pPr>
        <w:pStyle w:val="Heading2"/>
      </w:pPr>
      <w:bookmarkStart w:id="22" w:name="company-overview"/>
      <w:r>
        <w:t xml:space="preserve">COMPANY OVERVIEW</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Company</w:t>
            </w:r>
          </w:p>
        </w:tc>
        <w:tc>
          <w:p>
            <w:pPr>
              <w:pStyle w:val="Compact"/>
              <w:jc w:val="left"/>
            </w:pPr>
            <w:r>
              <w:t xml:space="preserve">Proaxis Solutions (Pty) Ltd</w:t>
            </w:r>
          </w:p>
        </w:tc>
      </w:tr>
      <w:tr>
        <w:tc>
          <w:p>
            <w:pPr>
              <w:pStyle w:val="Compact"/>
              <w:jc w:val="left"/>
            </w:pPr>
            <w:r>
              <w:rPr>
                <w:b/>
              </w:rPr>
              <w:t xml:space="preserve">Registration</w:t>
            </w:r>
          </w:p>
        </w:tc>
        <w:tc>
          <w:p>
            <w:pPr>
              <w:pStyle w:val="Compact"/>
              <w:jc w:val="left"/>
            </w:pPr>
            <w:r>
              <w:t xml:space="preserve">2025/542019/07</w:t>
            </w:r>
          </w:p>
        </w:tc>
      </w:tr>
      <w:tr>
        <w:tc>
          <w:p>
            <w:pPr>
              <w:pStyle w:val="Compact"/>
              <w:jc w:val="left"/>
            </w:pPr>
            <w:r>
              <w:rPr>
                <w:b/>
              </w:rPr>
              <w:t xml:space="preserve">SARS Tax Reference</w:t>
            </w:r>
          </w:p>
        </w:tc>
        <w:tc>
          <w:p>
            <w:pPr>
              <w:pStyle w:val="Compact"/>
              <w:jc w:val="left"/>
            </w:pPr>
            <w:r>
              <w:t xml:space="preserve">9007193338</w:t>
            </w:r>
          </w:p>
        </w:tc>
      </w:tr>
      <w:tr>
        <w:tc>
          <w:p>
            <w:pPr>
              <w:pStyle w:val="Compact"/>
              <w:jc w:val="left"/>
            </w:pPr>
            <w:r>
              <w:rPr>
                <w:b/>
              </w:rPr>
              <w:t xml:space="preserve">B-BBEE Status</w:t>
            </w:r>
          </w:p>
        </w:tc>
        <w:tc>
          <w:p>
            <w:pPr>
              <w:pStyle w:val="Compact"/>
              <w:jc w:val="left"/>
            </w:pPr>
            <w:r>
              <w:t xml:space="preserve">Level 1 Contributor — EME</w:t>
            </w:r>
          </w:p>
        </w:tc>
      </w:tr>
      <w:tr>
        <w:tc>
          <w:p>
            <w:pPr>
              <w:pStyle w:val="Compact"/>
              <w:jc w:val="left"/>
            </w:pPr>
            <w:r>
              <w:rPr>
                <w:b/>
              </w:rPr>
              <w:t xml:space="preserve">CSD Registered</w:t>
            </w:r>
          </w:p>
        </w:tc>
        <w:tc>
          <w:p>
            <w:pPr>
              <w:pStyle w:val="Compact"/>
              <w:jc w:val="left"/>
            </w:pPr>
            <w:r>
              <w:t xml:space="preserve">Yes — Supplier No. MAAA1729940</w:t>
            </w:r>
          </w:p>
        </w:tc>
      </w:tr>
      <w:tr>
        <w:tc>
          <w:p>
            <w:pPr>
              <w:pStyle w:val="Compact"/>
              <w:jc w:val="left"/>
            </w:pPr>
            <w:r>
              <w:rPr>
                <w:b/>
              </w:rPr>
              <w:t xml:space="preserve">Province</w:t>
            </w:r>
          </w:p>
        </w:tc>
        <w:tc>
          <w:p>
            <w:pPr>
              <w:pStyle w:val="Compact"/>
              <w:jc w:val="left"/>
            </w:pPr>
            <w:r>
              <w:t xml:space="preserve">KwaZulu-Natal</w:t>
            </w:r>
          </w:p>
        </w:tc>
      </w:tr>
      <w:tr>
        <w:tc>
          <w:p>
            <w:pPr>
              <w:pStyle w:val="Compact"/>
              <w:jc w:val="left"/>
            </w:pPr>
            <w:r>
              <w:rPr>
                <w:b/>
              </w:rPr>
              <w:t xml:space="preserve">Website</w:t>
            </w:r>
          </w:p>
        </w:tc>
        <w:tc>
          <w:p>
            <w:pPr>
              <w:pStyle w:val="Compact"/>
              <w:jc w:val="left"/>
            </w:pPr>
            <w:r>
              <w:t xml:space="preserve">www.proaxissolutions.co.za</w:t>
            </w:r>
          </w:p>
        </w:tc>
      </w:tr>
      <w:tr>
        <w:tc>
          <w:p>
            <w:pPr>
              <w:pStyle w:val="Compact"/>
              <w:jc w:val="left"/>
            </w:pPr>
            <w:r>
              <w:rPr>
                <w:b/>
              </w:rPr>
              <w:t xml:space="preserve">Email</w:t>
            </w:r>
          </w:p>
        </w:tc>
        <w:tc>
          <w:p>
            <w:pPr>
              <w:pStyle w:val="Compact"/>
              <w:jc w:val="left"/>
            </w:pPr>
            <w:r>
              <w:t xml:space="preserve">info@proaxissolutions.co.za</w:t>
            </w:r>
          </w:p>
        </w:tc>
      </w:tr>
      <w:tr>
        <w:tc>
          <w:p>
            <w:pPr>
              <w:pStyle w:val="Compact"/>
              <w:jc w:val="left"/>
            </w:pPr>
            <w:r>
              <w:rPr>
                <w:b/>
              </w:rPr>
              <w:t xml:space="preserve">Director</w:t>
            </w:r>
          </w:p>
        </w:tc>
        <w:tc>
          <w:p>
            <w:pPr>
              <w:pStyle w:val="Compact"/>
              <w:jc w:val="left"/>
            </w:pPr>
            <w:r>
              <w:t xml:space="preserve">Bongumusa Aphiwe Xolani Mthembu</w:t>
            </w:r>
          </w:p>
        </w:tc>
      </w:tr>
    </w:tbl>
    <w:p>
      <w:r>
        <w:pict>
          <v:rect style="width:0;height:1.5pt" o:hralign="center" o:hrstd="t" o:hr="t"/>
        </w:pict>
      </w:r>
    </w:p>
    <w:p>
      <w:pPr>
        <w:pStyle w:val="Heading2"/>
      </w:pPr>
      <w:bookmarkStart w:id="23" w:name="what-we-do"/>
      <w:r>
        <w:t xml:space="preserve">WHAT WE DO</w:t>
      </w:r>
      <w:bookmarkEnd w:id="23"/>
    </w:p>
    <w:p>
      <w:pPr>
        <w:pStyle w:val="FirstParagraph"/>
      </w:pPr>
      <w:r>
        <w:t xml:space="preserve">Proaxis Solutions is a South African </w:t>
      </w:r>
      <w:r>
        <w:rPr>
          <w:b/>
        </w:rPr>
        <w:t xml:space="preserve">technology, software engineering, and AI automation company</w:t>
      </w:r>
      <w:r>
        <w:t xml:space="preserve">. We design, build, and deploy digital solutions that help organisations automate operations, improve service delivery, and achieve measurable business outcomes.</w:t>
      </w:r>
    </w:p>
    <w:p>
      <w:pPr>
        <w:pStyle w:val="BodyText"/>
      </w:pPr>
      <w:r>
        <w:t xml:space="preserve">We work across three core capability areas:</w:t>
      </w:r>
    </w:p>
    <w:p>
      <w:r>
        <w:pict>
          <v:rect style="width:0;height:1.5pt" o:hralign="center" o:hrstd="t" o:hr="t"/>
        </w:pict>
      </w:r>
    </w:p>
    <w:p>
      <w:pPr>
        <w:pStyle w:val="Heading3"/>
      </w:pPr>
      <w:bookmarkStart w:id="24" w:name="software-engineering"/>
      <w:r>
        <w:t xml:space="preserve">1. SOFTWARE ENGINEERING</w:t>
      </w:r>
      <w:bookmarkEnd w:id="24"/>
    </w:p>
    <w:p>
      <w:pPr>
        <w:pStyle w:val="FirstParagraph"/>
      </w:pPr>
      <w:r>
        <w:t xml:space="preserve">We build custom software that solves real operational problems — from internal workflow systems and business applications to web platforms and integration solutions.</w:t>
      </w:r>
    </w:p>
    <w:p>
      <w:pPr>
        <w:pStyle w:val="BodyText"/>
      </w:pPr>
      <w:r>
        <w:rPr>
          <w:b/>
        </w:rPr>
        <w:t xml:space="preserve">Capabilities:</w:t>
      </w:r>
      <w:r>
        <w:t xml:space="preserve"> - Custom software development (web applications, business systems, workflow platforms) - API development and system integration - Web application development - Corporate and business website development - Client portal development - Platform modernisation</w:t>
      </w:r>
    </w:p>
    <w:p>
      <w:pPr>
        <w:pStyle w:val="BodyText"/>
      </w:pPr>
      <w:r>
        <w:rPr>
          <w:b/>
        </w:rPr>
        <w:t xml:space="preserve">Suited for:</w:t>
      </w:r>
      <w:r>
        <w:t xml:space="preserve"> Organisations that have outgrown spreadsheets and manual processes, or need to replace legacy systems with modern, scalable digital platforms.</w:t>
      </w:r>
    </w:p>
    <w:p>
      <w:r>
        <w:pict>
          <v:rect style="width:0;height:1.5pt" o:hralign="center" o:hrstd="t" o:hr="t"/>
        </w:pict>
      </w:r>
    </w:p>
    <w:p>
      <w:pPr>
        <w:pStyle w:val="Heading3"/>
      </w:pPr>
      <w:bookmarkStart w:id="25" w:name="ai-automation"/>
      <w:r>
        <w:t xml:space="preserve">2. AI AUTOMATION</w:t>
      </w:r>
      <w:bookmarkEnd w:id="25"/>
    </w:p>
    <w:p>
      <w:pPr>
        <w:pStyle w:val="FirstParagraph"/>
      </w:pPr>
      <w:r>
        <w:t xml:space="preserve">We design and implement AI-powered systems that eliminate repetitive manual work, improve decision-making, and create operational efficiency.</w:t>
      </w:r>
    </w:p>
    <w:p>
      <w:pPr>
        <w:pStyle w:val="BodyText"/>
      </w:pPr>
      <w:r>
        <w:rPr>
          <w:b/>
        </w:rPr>
        <w:t xml:space="preserve">Capabilities:</w:t>
      </w:r>
      <w:r>
        <w:t xml:space="preserve"> - AI workflow automation - Intelligent document processing and extraction - AI assistant development and integration - Automated reporting and data processing - Decision-support system design - Business process automation (BPA)</w:t>
      </w:r>
    </w:p>
    <w:p>
      <w:pPr>
        <w:pStyle w:val="BodyText"/>
      </w:pPr>
      <w:r>
        <w:rPr>
          <w:b/>
        </w:rPr>
        <w:t xml:space="preserve">Suited for:</w:t>
      </w:r>
      <w:r>
        <w:t xml:space="preserve"> Organisations with high-volume, rules-based processes that are currently performed manually, and those seeking to leverage AI to improve quality and reduce operational cost.</w:t>
      </w:r>
    </w:p>
    <w:p>
      <w:pPr>
        <w:pStyle w:val="BlockText"/>
      </w:pPr>
      <w:r>
        <w:rPr>
          <w:b/>
        </w:rPr>
        <w:t xml:space="preserve">Our approach to responsible AI:</w:t>
      </w:r>
      <w:r>
        <w:t xml:space="preserve"> Every AI solution we design includes a human-in-the-loop mechanism for decisions with significant consequences. We do not design or recommend fully automated decision systems that operate without human review where personal or significant business outcomes are involved. This is embedded in our design practice and in our client contracts.</w:t>
      </w:r>
    </w:p>
    <w:p>
      <w:r>
        <w:pict>
          <v:rect style="width:0;height:1.5pt" o:hralign="center" o:hrstd="t" o:hr="t"/>
        </w:pict>
      </w:r>
    </w:p>
    <w:p>
      <w:pPr>
        <w:pStyle w:val="Heading3"/>
      </w:pPr>
      <w:bookmarkStart w:id="26" w:name="digital-transformation"/>
      <w:r>
        <w:t xml:space="preserve">3. DIGITAL TRANSFORMATION</w:t>
      </w:r>
      <w:bookmarkEnd w:id="26"/>
    </w:p>
    <w:p>
      <w:pPr>
        <w:pStyle w:val="FirstParagraph"/>
      </w:pPr>
      <w:r>
        <w:t xml:space="preserve">We help organisations plan and execute the transition from legacy, manual, or fragmented operations to integrated, digital, and data-driven business models.</w:t>
      </w:r>
    </w:p>
    <w:p>
      <w:pPr>
        <w:pStyle w:val="BodyText"/>
      </w:pPr>
      <w:r>
        <w:rPr>
          <w:b/>
        </w:rPr>
        <w:t xml:space="preserve">Capabilities:</w:t>
      </w:r>
      <w:r>
        <w:t xml:space="preserve"> - Digital transformation strategy and roadmap development - Technology assessment and gap analysis - Process mapping and optimisation - Digital infrastructure advisory - Change management support - Project management and delivery oversight</w:t>
      </w:r>
    </w:p>
    <w:p>
      <w:pPr>
        <w:pStyle w:val="BodyText"/>
      </w:pPr>
      <w:r>
        <w:rPr>
          <w:b/>
        </w:rPr>
        <w:t xml:space="preserve">Suited for:</w:t>
      </w:r>
      <w:r>
        <w:t xml:space="preserve"> Organisations at any stage of digital maturity — from businesses digitising for the first time to those modernising existing systems.</w:t>
      </w:r>
    </w:p>
    <w:p>
      <w:r>
        <w:pict>
          <v:rect style="width:0;height:1.5pt" o:hralign="center" o:hrstd="t" o:hr="t"/>
        </w:pict>
      </w:r>
    </w:p>
    <w:p>
      <w:pPr>
        <w:pStyle w:val="Heading2"/>
      </w:pPr>
      <w:bookmarkStart w:id="27" w:name="delivery-approach"/>
      <w:r>
        <w:t xml:space="preserve">DELIVERY APPROACH</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What We Do</w:t>
            </w:r>
          </w:p>
        </w:tc>
      </w:tr>
      <w:tr>
        <w:tc>
          <w:p>
            <w:pPr>
              <w:pStyle w:val="Compact"/>
              <w:jc w:val="left"/>
            </w:pPr>
            <w:r>
              <w:rPr>
                <w:b/>
              </w:rPr>
              <w:t xml:space="preserve">Discovery</w:t>
            </w:r>
          </w:p>
        </w:tc>
        <w:tc>
          <w:p>
            <w:pPr>
              <w:pStyle w:val="Compact"/>
              <w:jc w:val="left"/>
            </w:pPr>
            <w:r>
              <w:t xml:space="preserve">Understand your operations, objectives, pain points, and constraints before proposing anything</w:t>
            </w:r>
          </w:p>
        </w:tc>
      </w:tr>
      <w:tr>
        <w:tc>
          <w:p>
            <w:pPr>
              <w:pStyle w:val="Compact"/>
              <w:jc w:val="left"/>
            </w:pPr>
            <w:r>
              <w:rPr>
                <w:b/>
              </w:rPr>
              <w:t xml:space="preserve">Proposal</w:t>
            </w:r>
          </w:p>
        </w:tc>
        <w:tc>
          <w:p>
            <w:pPr>
              <w:pStyle w:val="Compact"/>
              <w:jc w:val="left"/>
            </w:pPr>
            <w:r>
              <w:t xml:space="preserve">Deliver a clear scope, timeline, and fixed-price quotation — no surprises</w:t>
            </w:r>
          </w:p>
        </w:tc>
      </w:tr>
      <w:tr>
        <w:tc>
          <w:p>
            <w:pPr>
              <w:pStyle w:val="Compact"/>
              <w:jc w:val="left"/>
            </w:pPr>
            <w:r>
              <w:rPr>
                <w:b/>
              </w:rPr>
              <w:t xml:space="preserve">Development</w:t>
            </w:r>
          </w:p>
        </w:tc>
        <w:tc>
          <w:p>
            <w:pPr>
              <w:pStyle w:val="Compact"/>
              <w:jc w:val="left"/>
            </w:pPr>
            <w:r>
              <w:t xml:space="preserve">Build iteratively with regular progress updates and client involvement throughout</w:t>
            </w:r>
          </w:p>
        </w:tc>
      </w:tr>
      <w:tr>
        <w:tc>
          <w:p>
            <w:pPr>
              <w:pStyle w:val="Compact"/>
              <w:jc w:val="left"/>
            </w:pPr>
            <w:r>
              <w:rPr>
                <w:b/>
              </w:rPr>
              <w:t xml:space="preserve">Delivery</w:t>
            </w:r>
          </w:p>
        </w:tc>
        <w:tc>
          <w:p>
            <w:pPr>
              <w:pStyle w:val="Compact"/>
              <w:jc w:val="left"/>
            </w:pPr>
            <w:r>
              <w:t xml:space="preserve">Test thoroughly, train your team, and ensure smooth handover</w:t>
            </w:r>
          </w:p>
        </w:tc>
      </w:tr>
      <w:tr>
        <w:tc>
          <w:p>
            <w:pPr>
              <w:pStyle w:val="Compact"/>
              <w:jc w:val="left"/>
            </w:pPr>
            <w:r>
              <w:rPr>
                <w:b/>
              </w:rPr>
              <w:t xml:space="preserve">Support</w:t>
            </w:r>
          </w:p>
        </w:tc>
        <w:tc>
          <w:p>
            <w:pPr>
              <w:pStyle w:val="Compact"/>
              <w:jc w:val="left"/>
            </w:pPr>
            <w:r>
              <w:t xml:space="preserve">Provide post-delivery maintenance and support based on your chosen service plan</w:t>
            </w:r>
          </w:p>
        </w:tc>
      </w:tr>
    </w:tbl>
    <w:p>
      <w:pPr>
        <w:pStyle w:val="BodyText"/>
      </w:pPr>
      <w:r>
        <w:t xml:space="preserve">We apply structured project management discipline to every engagement — regardless of project size.</w:t>
      </w:r>
    </w:p>
    <w:p>
      <w:r>
        <w:pict>
          <v:rect style="width:0;height:1.5pt" o:hralign="center" o:hrstd="t" o:hr="t"/>
        </w:pict>
      </w:r>
    </w:p>
    <w:p>
      <w:pPr>
        <w:pStyle w:val="Heading2"/>
      </w:pPr>
      <w:bookmarkStart w:id="28" w:name="key-differentiators"/>
      <w:r>
        <w:t xml:space="preserve">KEY DIFFERENTIATORS</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Detail</w:t>
            </w:r>
          </w:p>
        </w:tc>
      </w:tr>
      <w:tr>
        <w:tc>
          <w:p>
            <w:pPr>
              <w:pStyle w:val="Compact"/>
              <w:jc w:val="left"/>
            </w:pPr>
            <w:r>
              <w:rPr>
                <w:b/>
              </w:rPr>
              <w:t xml:space="preserve">B-BBEE Level 1</w:t>
            </w:r>
          </w:p>
        </w:tc>
        <w:tc>
          <w:p>
            <w:pPr>
              <w:pStyle w:val="Compact"/>
              <w:jc w:val="left"/>
            </w:pPr>
            <w:r>
              <w:t xml:space="preserve">Maximum preference points (20/20) on all tenders under R50 million</w:t>
            </w:r>
          </w:p>
        </w:tc>
      </w:tr>
      <w:tr>
        <w:tc>
          <w:p>
            <w:pPr>
              <w:pStyle w:val="Compact"/>
              <w:jc w:val="left"/>
            </w:pPr>
            <w:r>
              <w:rPr>
                <w:b/>
              </w:rPr>
              <w:t xml:space="preserve">Business-first thinking</w:t>
            </w:r>
          </w:p>
        </w:tc>
        <w:tc>
          <w:p>
            <w:pPr>
              <w:pStyle w:val="Compact"/>
              <w:jc w:val="left"/>
            </w:pPr>
            <w:r>
              <w:t xml:space="preserve">We understand your operations before recommending technology</w:t>
            </w:r>
          </w:p>
        </w:tc>
      </w:tr>
      <w:tr>
        <w:tc>
          <w:p>
            <w:pPr>
              <w:pStyle w:val="Compact"/>
              <w:jc w:val="left"/>
            </w:pPr>
            <w:r>
              <w:rPr>
                <w:b/>
              </w:rPr>
              <w:t xml:space="preserve">Senior-level delivery</w:t>
            </w:r>
          </w:p>
        </w:tc>
        <w:tc>
          <w:p>
            <w:pPr>
              <w:pStyle w:val="Compact"/>
              <w:jc w:val="left"/>
            </w:pPr>
            <w:r>
              <w:t xml:space="preserve">Every client engagement receives direct, experienced attention</w:t>
            </w:r>
          </w:p>
        </w:tc>
      </w:tr>
      <w:tr>
        <w:tc>
          <w:p>
            <w:pPr>
              <w:pStyle w:val="Compact"/>
              <w:jc w:val="left"/>
            </w:pPr>
            <w:r>
              <w:rPr>
                <w:b/>
              </w:rPr>
              <w:t xml:space="preserve">Compliance embedded</w:t>
            </w:r>
          </w:p>
        </w:tc>
        <w:tc>
          <w:p>
            <w:pPr>
              <w:pStyle w:val="Compact"/>
              <w:jc w:val="left"/>
            </w:pPr>
            <w:r>
              <w:t xml:space="preserve">POPIA, data governance, and responsible AI are built in — not added later</w:t>
            </w:r>
          </w:p>
        </w:tc>
      </w:tr>
      <w:tr>
        <w:tc>
          <w:p>
            <w:pPr>
              <w:pStyle w:val="Compact"/>
              <w:jc w:val="left"/>
            </w:pPr>
            <w:r>
              <w:rPr>
                <w:b/>
              </w:rPr>
              <w:t xml:space="preserve">Honest scoping</w:t>
            </w:r>
          </w:p>
        </w:tc>
        <w:tc>
          <w:p>
            <w:pPr>
              <w:pStyle w:val="Compact"/>
              <w:jc w:val="left"/>
            </w:pPr>
            <w:r>
              <w:t xml:space="preserve">We only commit to what we can deliver. We do not overstate capability or experience</w:t>
            </w:r>
          </w:p>
        </w:tc>
      </w:tr>
      <w:tr>
        <w:tc>
          <w:p>
            <w:pPr>
              <w:pStyle w:val="Compact"/>
              <w:jc w:val="left"/>
            </w:pPr>
            <w:r>
              <w:rPr>
                <w:b/>
              </w:rPr>
              <w:t xml:space="preserve">Transparent pricing</w:t>
            </w:r>
          </w:p>
        </w:tc>
        <w:tc>
          <w:p>
            <w:pPr>
              <w:pStyle w:val="Compact"/>
              <w:jc w:val="left"/>
            </w:pPr>
            <w:r>
              <w:t xml:space="preserve">Fixed-price engagements with clear scope and milestones</w:t>
            </w:r>
          </w:p>
        </w:tc>
      </w:tr>
    </w:tbl>
    <w:p>
      <w:r>
        <w:pict>
          <v:rect style="width:0;height:1.5pt" o:hralign="center" o:hrstd="t" o:hr="t"/>
        </w:pict>
      </w:r>
    </w:p>
    <w:p>
      <w:pPr>
        <w:pStyle w:val="Heading2"/>
      </w:pPr>
      <w:bookmarkStart w:id="29" w:name="compliance-credentials"/>
      <w:r>
        <w:t xml:space="preserve">COMPLIANCE CREDENTIALS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Credential</w:t>
            </w:r>
          </w:p>
        </w:tc>
        <w:tc>
          <w:tcPr>
            <w:tcBorders>
              <w:bottom w:val="single"/>
            </w:tcBorders>
            <w:vAlign w:val="bottom"/>
          </w:tcPr>
          <w:p>
            <w:pPr>
              <w:pStyle w:val="Compact"/>
              <w:jc w:val="left"/>
            </w:pPr>
            <w:r>
              <w:t xml:space="preserve">Detail</w:t>
            </w:r>
          </w:p>
        </w:tc>
      </w:tr>
      <w:tr>
        <w:tc>
          <w:p>
            <w:pPr>
              <w:pStyle w:val="Compact"/>
              <w:jc w:val="left"/>
            </w:pPr>
            <w:r>
              <w:t xml:space="preserve">CIPC Registered</w:t>
            </w:r>
          </w:p>
        </w:tc>
        <w:tc>
          <w:p>
            <w:pPr>
              <w:pStyle w:val="Compact"/>
              <w:jc w:val="left"/>
            </w:pPr>
            <w:r>
              <w:t xml:space="preserve">Reg: 2025/542019/07</w:t>
            </w:r>
          </w:p>
        </w:tc>
      </w:tr>
      <w:tr>
        <w:tc>
          <w:p>
            <w:pPr>
              <w:pStyle w:val="Compact"/>
              <w:jc w:val="left"/>
            </w:pPr>
            <w:r>
              <w:t xml:space="preserve">SARS Registered</w:t>
            </w:r>
          </w:p>
        </w:tc>
        <w:tc>
          <w:p>
            <w:pPr>
              <w:pStyle w:val="Compact"/>
              <w:jc w:val="left"/>
            </w:pPr>
            <w:r>
              <w:t xml:space="preserve">Tax Ref: 9007193338</w:t>
            </w:r>
          </w:p>
        </w:tc>
      </w:tr>
      <w:tr>
        <w:tc>
          <w:p>
            <w:pPr>
              <w:pStyle w:val="Compact"/>
              <w:jc w:val="left"/>
            </w:pPr>
            <w:r>
              <w:t xml:space="preserve">SARS Tax Compliance</w:t>
            </w:r>
          </w:p>
        </w:tc>
        <w:tc>
          <w:p>
            <w:pPr>
              <w:pStyle w:val="Compact"/>
              <w:jc w:val="left"/>
            </w:pPr>
            <w:r>
              <w:t xml:space="preserve">TCS PIN: 93227BC47N — Tax Compliant</w:t>
            </w:r>
          </w:p>
        </w:tc>
      </w:tr>
      <w:tr>
        <w:tc>
          <w:p>
            <w:pPr>
              <w:pStyle w:val="Compact"/>
              <w:jc w:val="left"/>
            </w:pPr>
            <w:r>
              <w:t xml:space="preserve">B-BBEE Level 1 EME</w:t>
            </w:r>
          </w:p>
        </w:tc>
        <w:tc>
          <w:p>
            <w:pPr>
              <w:pStyle w:val="Compact"/>
              <w:jc w:val="left"/>
            </w:pPr>
            <w:r>
              <w:t xml:space="preserve">Certificate valid — EME (renewal in progress, current certificate expires 07 July 2026)</w:t>
            </w:r>
          </w:p>
        </w:tc>
      </w:tr>
      <w:tr>
        <w:tc>
          <w:p>
            <w:pPr>
              <w:pStyle w:val="Compact"/>
              <w:jc w:val="left"/>
            </w:pPr>
            <w:r>
              <w:t xml:space="preserve">Information Officer</w:t>
            </w:r>
          </w:p>
        </w:tc>
        <w:tc>
          <w:p>
            <w:pPr>
              <w:pStyle w:val="Compact"/>
              <w:jc w:val="left"/>
            </w:pPr>
            <w:r>
              <w:t xml:space="preserve">Andile Khoza — IO Reference: 2025-058837</w:t>
            </w:r>
          </w:p>
        </w:tc>
      </w:tr>
      <w:tr>
        <w:tc>
          <w:p>
            <w:pPr>
              <w:pStyle w:val="Compact"/>
              <w:jc w:val="left"/>
            </w:pPr>
            <w:r>
              <w:t xml:space="preserve">CSD Registered</w:t>
            </w:r>
          </w:p>
        </w:tc>
        <w:tc>
          <w:p>
            <w:pPr>
              <w:pStyle w:val="Compact"/>
              <w:jc w:val="left"/>
            </w:pPr>
            <w:r>
              <w:t xml:space="preserve">Supplier No. MAAA1729940 — Active</w:t>
            </w:r>
          </w:p>
        </w:tc>
      </w:tr>
      <w:tr>
        <w:tc>
          <w:p>
            <w:pPr>
              <w:pStyle w:val="Compact"/>
              <w:jc w:val="left"/>
            </w:pPr>
            <w:r>
              <w:t xml:space="preserve">POPIA Compliant</w:t>
            </w:r>
          </w:p>
        </w:tc>
        <w:tc>
          <w:p>
            <w:pPr>
              <w:pStyle w:val="Compact"/>
              <w:jc w:val="left"/>
            </w:pPr>
            <w:r>
              <w:t xml:space="preserve">POPIA Policy and Privacy Notice implemented June 2026</w:t>
            </w:r>
          </w:p>
        </w:tc>
      </w:tr>
      <w:tr>
        <w:tc>
          <w:p>
            <w:pPr>
              <w:pStyle w:val="Compact"/>
              <w:jc w:val="left"/>
            </w:pPr>
            <w:r>
              <w:t xml:space="preserve">PAIA Compliant</w:t>
            </w:r>
          </w:p>
        </w:tc>
        <w:tc>
          <w:p>
            <w:pPr>
              <w:pStyle w:val="Compact"/>
              <w:jc w:val="left"/>
            </w:pPr>
            <w:r>
              <w:t xml:space="preserve">PAIA Section 51 Manual published June 2026</w:t>
            </w:r>
          </w:p>
        </w:tc>
      </w:tr>
    </w:tbl>
    <w:p>
      <w:r>
        <w:pict>
          <v:rect style="width:0;height:1.5pt" o:hralign="center" o:hrstd="t" o:hr="t"/>
        </w:pict>
      </w:r>
    </w:p>
    <w:p>
      <w:pPr>
        <w:pStyle w:val="Heading2"/>
      </w:pPr>
      <w:bookmarkStart w:id="30" w:name="target-sectors"/>
      <w:r>
        <w:t xml:space="preserve">TARGET SECTORS</w:t>
      </w:r>
      <w:bookmarkEnd w:id="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Our Relevant Capabilities</w:t>
            </w:r>
          </w:p>
        </w:tc>
      </w:tr>
      <w:tr>
        <w:tc>
          <w:p>
            <w:pPr>
              <w:pStyle w:val="Compact"/>
              <w:jc w:val="left"/>
            </w:pPr>
            <w:r>
              <w:t xml:space="preserve">Government Departments</w:t>
            </w:r>
          </w:p>
        </w:tc>
        <w:tc>
          <w:p>
            <w:pPr>
              <w:pStyle w:val="Compact"/>
              <w:jc w:val="left"/>
            </w:pPr>
            <w:r>
              <w:t xml:space="preserve">Software development, AI automation, digital transformation, project management</w:t>
            </w:r>
          </w:p>
        </w:tc>
      </w:tr>
      <w:tr>
        <w:tc>
          <w:p>
            <w:pPr>
              <w:pStyle w:val="Compact"/>
              <w:jc w:val="left"/>
            </w:pPr>
            <w:r>
              <w:t xml:space="preserve">Municipalities</w:t>
            </w:r>
          </w:p>
        </w:tc>
        <w:tc>
          <w:p>
            <w:pPr>
              <w:pStyle w:val="Compact"/>
              <w:jc w:val="left"/>
            </w:pPr>
            <w:r>
              <w:t xml:space="preserve">Process automation, citizen-facing digital platforms, workflow systems</w:t>
            </w:r>
          </w:p>
        </w:tc>
      </w:tr>
      <w:tr>
        <w:tc>
          <w:p>
            <w:pPr>
              <w:pStyle w:val="Compact"/>
              <w:jc w:val="left"/>
            </w:pPr>
            <w:r>
              <w:t xml:space="preserve">Healthcare</w:t>
            </w:r>
          </w:p>
        </w:tc>
        <w:tc>
          <w:p>
            <w:pPr>
              <w:pStyle w:val="Compact"/>
              <w:jc w:val="left"/>
            </w:pPr>
            <w:r>
              <w:t xml:space="preserve">Clinical workflow automation, patient portal development, administrative digitisation</w:t>
            </w:r>
          </w:p>
        </w:tc>
      </w:tr>
      <w:tr>
        <w:tc>
          <w:p>
            <w:pPr>
              <w:pStyle w:val="Compact"/>
              <w:jc w:val="left"/>
            </w:pPr>
            <w:r>
              <w:t xml:space="preserve">SMEs and Growth Businesses</w:t>
            </w:r>
          </w:p>
        </w:tc>
        <w:tc>
          <w:p>
            <w:pPr>
              <w:pStyle w:val="Compact"/>
              <w:jc w:val="left"/>
            </w:pPr>
            <w:r>
              <w:t xml:space="preserve">Full service portfolio — custom software, websites, automation, IT support</w:t>
            </w:r>
          </w:p>
        </w:tc>
      </w:tr>
      <w:tr>
        <w:tc>
          <w:p>
            <w:pPr>
              <w:pStyle w:val="Compact"/>
              <w:jc w:val="left"/>
            </w:pPr>
            <w:r>
              <w:t xml:space="preserve">Professional Services</w:t>
            </w:r>
          </w:p>
        </w:tc>
        <w:tc>
          <w:p>
            <w:pPr>
              <w:pStyle w:val="Compact"/>
              <w:jc w:val="left"/>
            </w:pPr>
            <w:r>
              <w:t xml:space="preserve">Workflow automation, client management systems, document processing</w:t>
            </w:r>
          </w:p>
        </w:tc>
      </w:tr>
      <w:tr>
        <w:tc>
          <w:p>
            <w:pPr>
              <w:pStyle w:val="Compact"/>
              <w:jc w:val="left"/>
            </w:pPr>
            <w:r>
              <w:t xml:space="preserve">Private Enterprise</w:t>
            </w:r>
          </w:p>
        </w:tc>
        <w:tc>
          <w:p>
            <w:pPr>
              <w:pStyle w:val="Compact"/>
              <w:jc w:val="left"/>
            </w:pPr>
            <w:r>
              <w:t xml:space="preserve">Digital transformation consulting, custom platform development, AI automation</w:t>
            </w:r>
          </w:p>
        </w:tc>
      </w:tr>
    </w:tbl>
    <w:p>
      <w:r>
        <w:pict>
          <v:rect style="width:0;height:1.5pt" o:hralign="center" o:hrstd="t" o:hr="t"/>
        </w:pict>
      </w:r>
    </w:p>
    <w:p>
      <w:pPr>
        <w:pStyle w:val="Heading2"/>
      </w:pPr>
      <w:bookmarkStart w:id="31" w:name="recommended-commodity-codes-unspsc"/>
      <w:r>
        <w:t xml:space="preserve">RECOMMENDED COMMODITY CODES (UNSPSC)</w:t>
      </w:r>
      <w:bookmarkEnd w:id="31"/>
    </w:p>
    <w:p>
      <w:pPr>
        <w:pStyle w:val="FirstParagraph"/>
      </w:pPr>
      <w:r>
        <w:t xml:space="preserve">For use in CSD and tender submissions: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Description</w:t>
            </w:r>
          </w:p>
        </w:tc>
      </w:tr>
      <w:tr>
        <w:tc>
          <w:p>
            <w:pPr>
              <w:pStyle w:val="Compact"/>
              <w:jc w:val="left"/>
            </w:pPr>
            <w:r>
              <w:t xml:space="preserve">81111500</w:t>
            </w:r>
          </w:p>
        </w:tc>
        <w:tc>
          <w:p>
            <w:pPr>
              <w:pStyle w:val="Compact"/>
              <w:jc w:val="left"/>
            </w:pPr>
            <w:r>
              <w:t xml:space="preserve">Computer programming services</w:t>
            </w:r>
          </w:p>
        </w:tc>
      </w:tr>
      <w:tr>
        <w:tc>
          <w:p>
            <w:pPr>
              <w:pStyle w:val="Compact"/>
              <w:jc w:val="left"/>
            </w:pPr>
            <w:r>
              <w:t xml:space="preserve">81111600</w:t>
            </w:r>
          </w:p>
        </w:tc>
        <w:tc>
          <w:p>
            <w:pPr>
              <w:pStyle w:val="Compact"/>
              <w:jc w:val="left"/>
            </w:pPr>
            <w:r>
              <w:t xml:space="preserve">Systems analysis and programming services</w:t>
            </w:r>
          </w:p>
        </w:tc>
      </w:tr>
      <w:tr>
        <w:tc>
          <w:p>
            <w:pPr>
              <w:pStyle w:val="Compact"/>
              <w:jc w:val="left"/>
            </w:pPr>
            <w:r>
              <w:t xml:space="preserve">81111700</w:t>
            </w:r>
          </w:p>
        </w:tc>
        <w:tc>
          <w:p>
            <w:pPr>
              <w:pStyle w:val="Compact"/>
              <w:jc w:val="left"/>
            </w:pPr>
            <w:r>
              <w:t xml:space="preserve">Business intelligence consulting services</w:t>
            </w:r>
          </w:p>
        </w:tc>
      </w:tr>
      <w:tr>
        <w:tc>
          <w:p>
            <w:pPr>
              <w:pStyle w:val="Compact"/>
              <w:jc w:val="left"/>
            </w:pPr>
            <w:r>
              <w:t xml:space="preserve">81112000</w:t>
            </w:r>
          </w:p>
        </w:tc>
        <w:tc>
          <w:p>
            <w:pPr>
              <w:pStyle w:val="Compact"/>
              <w:jc w:val="left"/>
            </w:pPr>
            <w:r>
              <w:t xml:space="preserve">Information technology consultation services</w:t>
            </w:r>
          </w:p>
        </w:tc>
      </w:tr>
      <w:tr>
        <w:tc>
          <w:p>
            <w:pPr>
              <w:pStyle w:val="Compact"/>
              <w:jc w:val="left"/>
            </w:pPr>
            <w:r>
              <w:t xml:space="preserve">81112100</w:t>
            </w:r>
          </w:p>
        </w:tc>
        <w:tc>
          <w:p>
            <w:pPr>
              <w:pStyle w:val="Compact"/>
              <w:jc w:val="left"/>
            </w:pPr>
            <w:r>
              <w:t xml:space="preserve">System and network engineering services</w:t>
            </w:r>
          </w:p>
        </w:tc>
      </w:tr>
      <w:tr>
        <w:tc>
          <w:p>
            <w:pPr>
              <w:pStyle w:val="Compact"/>
              <w:jc w:val="left"/>
            </w:pPr>
            <w:r>
              <w:t xml:space="preserve">43232600</w:t>
            </w:r>
          </w:p>
        </w:tc>
        <w:tc>
          <w:p>
            <w:pPr>
              <w:pStyle w:val="Compact"/>
              <w:jc w:val="left"/>
            </w:pPr>
            <w:r>
              <w:t xml:space="preserve">Application development software</w:t>
            </w:r>
          </w:p>
        </w:tc>
      </w:tr>
    </w:tbl>
    <w:p>
      <w:r>
        <w:pict>
          <v:rect style="width:0;height:1.5pt" o:hralign="center" o:hrstd="t" o:hr="t"/>
        </w:pict>
      </w:r>
    </w:p>
    <w:p>
      <w:pPr>
        <w:pStyle w:val="Heading2"/>
      </w:pPr>
      <w:bookmarkStart w:id="32" w:name="contact"/>
      <w:r>
        <w:t xml:space="preserve">CONTACT</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Director</w:t>
            </w:r>
          </w:p>
        </w:tc>
        <w:tc>
          <w:p>
            <w:pPr>
              <w:pStyle w:val="Compact"/>
              <w:jc w:val="left"/>
            </w:pPr>
            <w:r>
              <w:t xml:space="preserve">Bongumusa Aphiwe Xolani Mthembu</w:t>
            </w:r>
          </w:p>
        </w:tc>
      </w:tr>
      <w:tr>
        <w:tc>
          <w:p>
            <w:pPr>
              <w:pStyle w:val="Compact"/>
              <w:jc w:val="left"/>
            </w:pPr>
            <w:r>
              <w:rPr>
                <w:b/>
              </w:rPr>
              <w:t xml:space="preserve">Email</w:t>
            </w:r>
          </w:p>
        </w:tc>
        <w:tc>
          <w:p>
            <w:pPr>
              <w:pStyle w:val="Compact"/>
              <w:jc w:val="left"/>
            </w:pPr>
            <w:r>
              <w:t xml:space="preserve">info@proaxissolutions.co.za</w:t>
            </w:r>
          </w:p>
        </w:tc>
      </w:tr>
      <w:tr>
        <w:tc>
          <w:p>
            <w:pPr>
              <w:pStyle w:val="Compact"/>
              <w:jc w:val="left"/>
            </w:pPr>
            <w:r>
              <w:rPr>
                <w:b/>
              </w:rPr>
              <w:t xml:space="preserve">Tenders</w:t>
            </w:r>
          </w:p>
        </w:tc>
        <w:tc>
          <w:p>
            <w:pPr>
              <w:pStyle w:val="Compact"/>
              <w:jc w:val="left"/>
            </w:pPr>
            <w:r>
              <w:t xml:space="preserve">tenders@proaxissolutions.co.za</w:t>
            </w:r>
          </w:p>
        </w:tc>
      </w:tr>
      <w:tr>
        <w:tc>
          <w:p>
            <w:pPr>
              <w:pStyle w:val="Compact"/>
              <w:jc w:val="left"/>
            </w:pPr>
            <w:r>
              <w:rPr>
                <w:b/>
              </w:rPr>
              <w:t xml:space="preserve">Website</w:t>
            </w:r>
          </w:p>
        </w:tc>
        <w:tc>
          <w:p>
            <w:pPr>
              <w:pStyle w:val="Compact"/>
              <w:jc w:val="left"/>
            </w:pPr>
            <w:r>
              <w:t xml:space="preserve">www.proaxissolutions.co.za</w:t>
            </w:r>
          </w:p>
        </w:tc>
      </w:tr>
      <w:tr>
        <w:tc>
          <w:p>
            <w:pPr>
              <w:pStyle w:val="Compact"/>
              <w:jc w:val="left"/>
            </w:pPr>
            <w:r>
              <w:rPr>
                <w:b/>
              </w:rPr>
              <w:t xml:space="preserve">Address</w:t>
            </w:r>
          </w:p>
        </w:tc>
        <w:tc>
          <w:p>
            <w:pPr>
              <w:pStyle w:val="Compact"/>
              <w:jc w:val="left"/>
            </w:pPr>
            <w:r>
              <w:t xml:space="preserve">1 Shantally Close, Milarina Gardens, Newlands West, 4037, KwaZulu-Natal, South Africa</w:t>
            </w:r>
          </w:p>
        </w:tc>
      </w:tr>
    </w:tbl>
    <w:p>
      <w:r>
        <w:pict>
          <v:rect style="width:0;height:1.5pt" o:hralign="center" o:hrstd="t" o:hr="t"/>
        </w:pict>
      </w:r>
    </w:p>
    <w:p>
      <w:pPr>
        <w:pStyle w:val="FirstParagraph"/>
      </w:pPr>
      <w:r>
        <w:rPr>
          <w:i/>
        </w:rPr>
        <w:t xml:space="preserve">Proaxis Solutions (Pty) Ltd | Reg: 2025/542019/07 | B-BBEE Level 1 EME</w:t>
      </w:r>
      <w:r>
        <w:br/>
      </w:r>
      <w:r>
        <w:rPr>
          <w:i/>
        </w:rPr>
        <w:t xml:space="preserve">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2026-06-06T13:39:33Z</dcterms:created>
  <dcterms:modified xsi:type="dcterms:W3CDTF">2026-06-06T13:39:33Z</dcterms:modified>
</cp:coreProperties>
</file>

<file path=docProps/custom.xml><?xml version="1.0" encoding="utf-8"?>
<Properties xmlns="http://schemas.openxmlformats.org/officeDocument/2006/custom-properties" xmlns:vt="http://schemas.openxmlformats.org/officeDocument/2006/docPropsVTypes"/>
</file>