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afc36c87d90c3142c9353a01508a81fd19cbb7"/>
      <w:r>
        <w:t xml:space="preserve">PROMOTION OF ACCESS TO INFORMATION ACT MANUAL</w:t>
      </w:r>
      <w:bookmarkEnd w:id="20"/>
    </w:p>
    <w:p>
      <w:pPr>
        <w:pStyle w:val="Heading2"/>
      </w:pPr>
      <w:bookmarkStart w:id="21" w:name="Xb1e5c2fea52d4932a64a0d293103a21efd4caa2"/>
      <w:r>
        <w:t xml:space="preserve">Section 51 Manual — Proaxis Solutions (Pty) Ltd</w:t>
      </w:r>
      <w:bookmarkEnd w:id="21"/>
    </w:p>
    <w:p>
      <w:r>
        <w:pict>
          <v:rect style="width:0;height:1.5pt" o:hralign="center" o:hrstd="t" o:hr="t"/>
        </w:pic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rPr>
                <w:b/>
              </w:rPr>
              <w:t xml:space="preserve">Company Name</w:t>
            </w:r>
          </w:p>
        </w:tc>
        <w:tc>
          <w:p>
            <w:pPr>
              <w:pStyle w:val="Compact"/>
              <w:jc w:val="left"/>
            </w:pPr>
            <w:r>
              <w:t xml:space="preserve">Proaxis Solutions (Pty) Ltd</w:t>
            </w:r>
          </w:p>
        </w:tc>
      </w:tr>
      <w:tr>
        <w:tc>
          <w:p>
            <w:pPr>
              <w:pStyle w:val="Compact"/>
              <w:jc w:val="left"/>
            </w:pPr>
            <w:r>
              <w:rPr>
                <w:b/>
              </w:rPr>
              <w:t xml:space="preserve">Registration Number</w:t>
            </w:r>
          </w:p>
        </w:tc>
        <w:tc>
          <w:p>
            <w:pPr>
              <w:pStyle w:val="Compact"/>
              <w:jc w:val="left"/>
            </w:pPr>
            <w:r>
              <w:t xml:space="preserve">2025/542019/07</w:t>
            </w:r>
          </w:p>
        </w:tc>
      </w:tr>
      <w:tr>
        <w:tc>
          <w:p>
            <w:pPr>
              <w:pStyle w:val="Compact"/>
              <w:jc w:val="left"/>
            </w:pPr>
            <w:r>
              <w:rPr>
                <w:b/>
              </w:rPr>
              <w:t xml:space="preserve">Information Officer</w:t>
            </w:r>
          </w:p>
        </w:tc>
        <w:tc>
          <w:p>
            <w:pPr>
              <w:pStyle w:val="Compact"/>
              <w:jc w:val="left"/>
            </w:pPr>
            <w:r>
              <w:t xml:space="preserve">Andile Khoza</w:t>
            </w:r>
          </w:p>
        </w:tc>
      </w:tr>
      <w:tr>
        <w:tc>
          <w:p>
            <w:pPr>
              <w:pStyle w:val="Compact"/>
              <w:jc w:val="left"/>
            </w:pPr>
            <w:r>
              <w:rPr>
                <w:b/>
              </w:rPr>
              <w:t xml:space="preserve">IO Registration Reference</w:t>
            </w:r>
          </w:p>
        </w:tc>
        <w:tc>
          <w:p>
            <w:pPr>
              <w:pStyle w:val="Compact"/>
              <w:jc w:val="left"/>
            </w:pPr>
            <w:r>
              <w:t xml:space="preserve">2025-058837</w:t>
            </w:r>
          </w:p>
        </w:tc>
      </w:tr>
      <w:tr>
        <w:tc>
          <w:p>
            <w:pPr>
              <w:pStyle w:val="Compact"/>
              <w:jc w:val="left"/>
            </w:pPr>
            <w:r>
              <w:rPr>
                <w:b/>
              </w:rPr>
              <w:t xml:space="preserve">Document Version</w:t>
            </w:r>
          </w:p>
        </w:tc>
        <w:tc>
          <w:p>
            <w:pPr>
              <w:pStyle w:val="Compact"/>
              <w:jc w:val="left"/>
            </w:pPr>
            <w:r>
              <w:t xml:space="preserve">1.0</w:t>
            </w:r>
          </w:p>
        </w:tc>
      </w:tr>
      <w:tr>
        <w:tc>
          <w:p>
            <w:pPr>
              <w:pStyle w:val="Compact"/>
              <w:jc w:val="left"/>
            </w:pPr>
            <w:r>
              <w:rPr>
                <w:b/>
              </w:rPr>
              <w:t xml:space="preserve">Effective Date</w:t>
            </w:r>
          </w:p>
        </w:tc>
        <w:tc>
          <w:p>
            <w:pPr>
              <w:pStyle w:val="Compact"/>
              <w:jc w:val="left"/>
            </w:pPr>
            <w:r>
              <w:t xml:space="preserve">June 2026</w:t>
            </w:r>
          </w:p>
        </w:tc>
      </w:tr>
      <w:tr>
        <w:tc>
          <w:p>
            <w:pPr>
              <w:pStyle w:val="Compact"/>
              <w:jc w:val="left"/>
            </w:pPr>
            <w:r>
              <w:rPr>
                <w:b/>
              </w:rPr>
              <w:t xml:space="preserve">Next Review Date</w:t>
            </w:r>
          </w:p>
        </w:tc>
        <w:tc>
          <w:p>
            <w:pPr>
              <w:pStyle w:val="Compact"/>
              <w:jc w:val="left"/>
            </w:pPr>
            <w:r>
              <w:t xml:space="preserve">June 2027</w:t>
            </w:r>
          </w:p>
        </w:tc>
      </w:tr>
      <w:tr>
        <w:tc>
          <w:p>
            <w:pPr>
              <w:pStyle w:val="Compact"/>
              <w:jc w:val="left"/>
            </w:pPr>
            <w:r>
              <w:rPr>
                <w:b/>
              </w:rPr>
              <w:t xml:space="preserve">Prepared By</w:t>
            </w:r>
          </w:p>
        </w:tc>
        <w:tc>
          <w:p>
            <w:pPr>
              <w:pStyle w:val="Compact"/>
              <w:jc w:val="left"/>
            </w:pPr>
            <w:r>
              <w:t xml:space="preserve">Proaxis Solutions Compliance Function</w:t>
            </w:r>
          </w:p>
        </w:tc>
      </w:tr>
    </w:tbl>
    <w:p>
      <w:r>
        <w:pict>
          <v:rect style="width:0;height:1.5pt" o:hralign="center" o:hrstd="t" o:hr="t"/>
        </w:pict>
      </w:r>
    </w:p>
    <w:p>
      <w:pPr>
        <w:pStyle w:val="BlockText"/>
      </w:pPr>
      <w:r>
        <w:t xml:space="preserve">⚠️ </w:t>
      </w:r>
      <w:r>
        <w:rPr>
          <w:b/>
        </w:rPr>
        <w:t xml:space="preserve">DISCLAIMER:</w:t>
      </w:r>
      <w:r>
        <w:t xml:space="preserve"> This manual was prepared with AI assistance and must be reviewed by a qualified attorney before submission to the Information Regulator or reliance in any legal proceeding. All statutory references must be verified against current South African legislation. This document does not constitute legal advice.</w:t>
      </w:r>
    </w:p>
    <w:p>
      <w:r>
        <w:pict>
          <v:rect style="width:0;height:1.5pt" o:hralign="center" o:hrstd="t" o:hr="t"/>
        </w:pict>
      </w:r>
    </w:p>
    <w:p>
      <w:pPr>
        <w:pStyle w:val="Heading2"/>
      </w:pPr>
      <w:bookmarkStart w:id="22" w:name="introduction"/>
      <w:r>
        <w:t xml:space="preserve">INTRODUCTION</w:t>
      </w:r>
      <w:bookmarkEnd w:id="22"/>
    </w:p>
    <w:p>
      <w:pPr>
        <w:pStyle w:val="FirstParagraph"/>
      </w:pPr>
      <w:r>
        <w:t xml:space="preserve">This manual is compiled in accordance with </w:t>
      </w:r>
      <w:r>
        <w:rPr>
          <w:b/>
        </w:rPr>
        <w:t xml:space="preserve">Section 51 of the Promotion of Access to Information Act 2 of 2000 (PAIA)</w:t>
      </w:r>
      <w:r>
        <w:t xml:space="preserve"> [VERIFY: current version including all amendments].</w:t>
      </w:r>
    </w:p>
    <w:p>
      <w:pPr>
        <w:pStyle w:val="BodyText"/>
      </w:pPr>
      <w:r>
        <w:t xml:space="preserve">Section 51 requires every private body to compile a manual containing information prescribed by the Act to facilitate access to information held by that body.</w:t>
      </w:r>
    </w:p>
    <w:p>
      <w:pPr>
        <w:pStyle w:val="BodyText"/>
      </w:pPr>
      <w:r>
        <w:t xml:space="preserve">Proaxis Solutions (Pty) Ltd is committed to transparency, accountability, and giving effect to the constitutional right of access to information as provided for in </w:t>
      </w:r>
      <w:r>
        <w:rPr>
          <w:b/>
        </w:rPr>
        <w:t xml:space="preserve">Section 32 of the Constitution of the Republic of South Africa, 1996</w:t>
      </w:r>
      <w:r>
        <w:t xml:space="preserve">.</w:t>
      </w:r>
    </w:p>
    <w:p>
      <w:r>
        <w:pict>
          <v:rect style="width:0;height:1.5pt" o:hralign="center" o:hrstd="t" o:hr="t"/>
        </w:pict>
      </w:r>
    </w:p>
    <w:p>
      <w:pPr>
        <w:pStyle w:val="Heading2"/>
      </w:pPr>
      <w:bookmarkStart w:id="23" w:name="X676a24cc543f8bc401dbe4334ca2ef61d9bff61"/>
      <w:r>
        <w:t xml:space="preserve">PART 1 — CONTACT DETAILS OF THE INFORMATION OFFICER</w:t>
      </w:r>
      <w:bookmarkEnd w:id="23"/>
    </w:p>
    <w:p>
      <w:pPr>
        <w:pStyle w:val="FirstParagraph"/>
      </w:pPr>
      <w:r>
        <w:t xml:space="preserve">All requests for access to records and all PAIA-related correspondence must be directed to the Information Officer at the details below.</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rPr>
                <w:b/>
              </w:rPr>
              <w:t xml:space="preserve">Name of Information Officer</w:t>
            </w:r>
          </w:p>
        </w:tc>
        <w:tc>
          <w:p>
            <w:pPr>
              <w:pStyle w:val="Compact"/>
              <w:jc w:val="left"/>
            </w:pPr>
            <w:r>
              <w:t xml:space="preserve">Andile Khoza</w:t>
            </w:r>
          </w:p>
        </w:tc>
      </w:tr>
      <w:tr>
        <w:tc>
          <w:p>
            <w:pPr>
              <w:pStyle w:val="Compact"/>
              <w:jc w:val="left"/>
            </w:pPr>
            <w:r>
              <w:rPr>
                <w:b/>
              </w:rPr>
              <w:t xml:space="preserve">IO Registration Reference</w:t>
            </w:r>
          </w:p>
        </w:tc>
        <w:tc>
          <w:p>
            <w:pPr>
              <w:pStyle w:val="Compact"/>
              <w:jc w:val="left"/>
            </w:pPr>
            <w:r>
              <w:t xml:space="preserve">2025-058837</w:t>
            </w:r>
          </w:p>
        </w:tc>
      </w:tr>
      <w:tr>
        <w:tc>
          <w:p>
            <w:pPr>
              <w:pStyle w:val="Compact"/>
              <w:jc w:val="left"/>
            </w:pPr>
            <w:r>
              <w:rPr>
                <w:b/>
              </w:rPr>
              <w:t xml:space="preserve">Physical Address</w:t>
            </w:r>
          </w:p>
        </w:tc>
        <w:tc>
          <w:p>
            <w:pPr>
              <w:pStyle w:val="Compact"/>
              <w:jc w:val="left"/>
            </w:pPr>
            <w:r>
              <w:t xml:space="preserve">1 Shantally Close, Milarina Gardens, Durban, KwaZulu-Natal, South Africa</w:t>
            </w:r>
          </w:p>
        </w:tc>
      </w:tr>
      <w:tr>
        <w:tc>
          <w:p>
            <w:pPr>
              <w:pStyle w:val="Compact"/>
              <w:jc w:val="left"/>
            </w:pPr>
            <w:r>
              <w:rPr>
                <w:b/>
              </w:rPr>
              <w:t xml:space="preserve">Postal Address</w:t>
            </w:r>
          </w:p>
        </w:tc>
        <w:tc>
          <w:p>
            <w:pPr>
              <w:pStyle w:val="Compact"/>
              <w:jc w:val="left"/>
            </w:pPr>
            <w:r>
              <w:t xml:space="preserve">1 Shantally Close, Milarina Gardens, Durban, KwaZulu-Natal, South Africa</w:t>
            </w:r>
          </w:p>
        </w:tc>
      </w:tr>
      <w:tr>
        <w:tc>
          <w:p>
            <w:pPr>
              <w:pStyle w:val="Compact"/>
              <w:jc w:val="left"/>
            </w:pPr>
            <w:r>
              <w:rPr>
                <w:b/>
              </w:rPr>
              <w:t xml:space="preserve">Telephone Number</w:t>
            </w:r>
          </w:p>
        </w:tc>
        <w:tc>
          <w:p>
            <w:pPr>
              <w:pStyle w:val="Compact"/>
              <w:jc w:val="left"/>
            </w:pPr>
            <w:r>
              <w:t xml:space="preserve">066 213 6607</w:t>
            </w:r>
          </w:p>
        </w:tc>
      </w:tr>
      <w:tr>
        <w:tc>
          <w:p>
            <w:pPr>
              <w:pStyle w:val="Compact"/>
              <w:jc w:val="left"/>
            </w:pPr>
            <w:r>
              <w:rPr>
                <w:b/>
              </w:rPr>
              <w:t xml:space="preserve">Email Address</w:t>
            </w:r>
          </w:p>
        </w:tc>
        <w:tc>
          <w:p>
            <w:pPr>
              <w:pStyle w:val="Compact"/>
              <w:jc w:val="left"/>
            </w:pPr>
            <w:r>
              <w:t xml:space="preserve">willsonjohnny430@gmail.com </w:t>
            </w:r>
            <w:r>
              <w:rPr>
                <w:b/>
              </w:rPr>
              <w:t xml:space="preserve">[TO BE UPDATED: info@proaxissolutions.co.za once active]</w:t>
            </w:r>
          </w:p>
        </w:tc>
      </w:tr>
      <w:tr>
        <w:tc>
          <w:p>
            <w:pPr>
              <w:pStyle w:val="Compact"/>
              <w:jc w:val="left"/>
            </w:pPr>
            <w:r>
              <w:rPr>
                <w:b/>
              </w:rPr>
              <w:t xml:space="preserve">Website</w:t>
            </w:r>
          </w:p>
        </w:tc>
        <w:tc>
          <w:p>
            <w:pPr>
              <w:pStyle w:val="Compact"/>
              <w:jc w:val="left"/>
            </w:pPr>
            <w:r>
              <w:t xml:space="preserve">www.proaxissolutions.co.za</w:t>
            </w:r>
          </w:p>
        </w:tc>
      </w:tr>
    </w:tbl>
    <w:p>
      <w:pPr>
        <w:pStyle w:val="BlockText"/>
      </w:pPr>
      <w:r>
        <w:rPr>
          <w:b/>
        </w:rPr>
        <w:t xml:space="preserve">Note on email address:</w:t>
      </w:r>
      <w:r>
        <w:t xml:space="preserve"> The company is in the process of implementing a professional business email system. The email address above will be updated to info@proaxissolutions.co.za as soon as the business email system is activated. This manual will be updated accordingly. The Information Regulator’s records will also be updated when the business email address is operational.</w:t>
      </w:r>
    </w:p>
    <w:p>
      <w:r>
        <w:pict>
          <v:rect style="width:0;height:1.5pt" o:hralign="center" o:hrstd="t" o:hr="t"/>
        </w:pict>
      </w:r>
    </w:p>
    <w:p>
      <w:pPr>
        <w:pStyle w:val="Heading2"/>
      </w:pPr>
      <w:bookmarkStart w:id="24" w:name="part-2-guide-on-how-to-use-paia"/>
      <w:r>
        <w:t xml:space="preserve">PART 2 — GUIDE ON HOW TO USE PAIA</w:t>
      </w:r>
      <w:bookmarkEnd w:id="24"/>
    </w:p>
    <w:p>
      <w:pPr>
        <w:pStyle w:val="FirstParagraph"/>
      </w:pPr>
      <w:r>
        <w:t xml:space="preserve">The South African Human Rights Commission (SAHRC) has compiled a guide on how to use PAIA as contemplated in Section 10 of the Act. This guide explains:</w:t>
      </w:r>
    </w:p>
    <w:p>
      <w:pPr>
        <w:numPr>
          <w:ilvl w:val="0"/>
          <w:numId w:val="1001"/>
        </w:numPr>
        <w:pStyle w:val="Compact"/>
      </w:pPr>
      <w:r>
        <w:t xml:space="preserve">The rights of access to information;</w:t>
      </w:r>
    </w:p>
    <w:p>
      <w:pPr>
        <w:numPr>
          <w:ilvl w:val="0"/>
          <w:numId w:val="1001"/>
        </w:numPr>
        <w:pStyle w:val="Compact"/>
      </w:pPr>
      <w:r>
        <w:t xml:space="preserve">How to submit a request for information;</w:t>
      </w:r>
    </w:p>
    <w:p>
      <w:pPr>
        <w:numPr>
          <w:ilvl w:val="0"/>
          <w:numId w:val="1001"/>
        </w:numPr>
        <w:pStyle w:val="Compact"/>
      </w:pPr>
      <w:r>
        <w:t xml:space="preserve">The grounds on which access may be refused;</w:t>
      </w:r>
    </w:p>
    <w:p>
      <w:pPr>
        <w:numPr>
          <w:ilvl w:val="0"/>
          <w:numId w:val="1001"/>
        </w:numPr>
        <w:pStyle w:val="Compact"/>
      </w:pPr>
      <w:r>
        <w:t xml:space="preserve">Remedies available to requestors.</w:t>
      </w:r>
    </w:p>
    <w:p>
      <w:pPr>
        <w:pStyle w:val="FirstParagraph"/>
      </w:pPr>
      <w:r>
        <w:t xml:space="preserve">This guide is available from the SAHRC at: [VERIFY: current SAHRC website URL and guide availability — www.sahrc.org.za]</w:t>
      </w:r>
    </w:p>
    <w:p>
      <w:pPr>
        <w:pStyle w:val="BodyText"/>
      </w:pPr>
      <w:r>
        <w:t xml:space="preserve">The guide is also available from the Information Regulator of South Africa at: [VERIFY: current Information Regulator website — www.inforegulator.org.za]</w:t>
      </w:r>
    </w:p>
    <w:p>
      <w:pPr>
        <w:pStyle w:val="BodyText"/>
      </w:pPr>
      <w:r>
        <w:t xml:space="preserve">Persons unable to read or write, or persons with disabilities, may contact the Information Officer to be assisted in formulating a request. [VERIFY: current PAIA provisions on assistance to requestors.]</w:t>
      </w:r>
    </w:p>
    <w:p>
      <w:r>
        <w:pict>
          <v:rect style="width:0;height:1.5pt" o:hralign="center" o:hrstd="t" o:hr="t"/>
        </w:pict>
      </w:r>
    </w:p>
    <w:p>
      <w:pPr>
        <w:pStyle w:val="Heading2"/>
      </w:pPr>
      <w:bookmarkStart w:id="25" w:name="part-3-description-of-records-held"/>
      <w:r>
        <w:t xml:space="preserve">PART 3 — DESCRIPTION OF RECORDS HELD</w:t>
      </w:r>
      <w:bookmarkEnd w:id="25"/>
    </w:p>
    <w:p>
      <w:pPr>
        <w:pStyle w:val="Heading3"/>
      </w:pPr>
      <w:bookmarkStart w:id="26" w:name="X4cc6909c90df6baba34135a72361b280a395d16"/>
      <w:r>
        <w:t xml:space="preserve">3.1 Records Available Without a Formal PAIA Request</w:t>
      </w:r>
      <w:bookmarkEnd w:id="26"/>
    </w:p>
    <w:p>
      <w:pPr>
        <w:pStyle w:val="FirstParagraph"/>
      </w:pPr>
      <w:r>
        <w:t xml:space="preserve">The following records are publicly available and may be accessed without submitting a formal PAIA request: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Record</w:t>
            </w:r>
          </w:p>
        </w:tc>
        <w:tc>
          <w:tcPr>
            <w:tcBorders>
              <w:bottom w:val="single"/>
            </w:tcBorders>
            <w:vAlign w:val="bottom"/>
          </w:tcPr>
          <w:p>
            <w:pPr>
              <w:pStyle w:val="Compact"/>
              <w:jc w:val="left"/>
            </w:pPr>
            <w:r>
              <w:t xml:space="preserve">Where Available</w:t>
            </w:r>
          </w:p>
        </w:tc>
      </w:tr>
      <w:tr>
        <w:tc>
          <w:p>
            <w:pPr>
              <w:pStyle w:val="Compact"/>
              <w:jc w:val="left"/>
            </w:pPr>
            <w:r>
              <w:t xml:space="preserve">Certificate of Incorporation</w:t>
            </w:r>
          </w:p>
        </w:tc>
        <w:tc>
          <w:p>
            <w:pPr>
              <w:pStyle w:val="Compact"/>
              <w:jc w:val="left"/>
            </w:pPr>
            <w:r>
              <w:t xml:space="preserve">Available from CIPC (www.cipc.co.za) on request</w:t>
            </w:r>
          </w:p>
        </w:tc>
      </w:tr>
      <w:tr>
        <w:tc>
          <w:p>
            <w:pPr>
              <w:pStyle w:val="Compact"/>
              <w:jc w:val="left"/>
            </w:pPr>
            <w:r>
              <w:t xml:space="preserve">PAIA Manual (this document)</w:t>
            </w:r>
          </w:p>
        </w:tc>
        <w:tc>
          <w:p>
            <w:pPr>
              <w:pStyle w:val="Compact"/>
              <w:jc w:val="left"/>
            </w:pPr>
            <w:r>
              <w:t xml:space="preserve">Published on the company website: www.proaxissolutions.co.za</w:t>
            </w:r>
          </w:p>
        </w:tc>
      </w:tr>
      <w:tr>
        <w:tc>
          <w:p>
            <w:pPr>
              <w:pStyle w:val="Compact"/>
              <w:jc w:val="left"/>
            </w:pPr>
            <w:r>
              <w:t xml:space="preserve">Privacy Notice / POPIA Notice</w:t>
            </w:r>
          </w:p>
        </w:tc>
        <w:tc>
          <w:p>
            <w:pPr>
              <w:pStyle w:val="Compact"/>
              <w:jc w:val="left"/>
            </w:pPr>
            <w:r>
              <w:t xml:space="preserve">Published on the company website: www.proaxissolutions.co.za</w:t>
            </w:r>
          </w:p>
        </w:tc>
      </w:tr>
      <w:tr>
        <w:tc>
          <w:p>
            <w:pPr>
              <w:pStyle w:val="Compact"/>
              <w:jc w:val="left"/>
            </w:pPr>
            <w:r>
              <w:t xml:space="preserve">B-BBEE Status Certificate / Affidavit</w:t>
            </w:r>
          </w:p>
        </w:tc>
        <w:tc>
          <w:p>
            <w:pPr>
              <w:pStyle w:val="Compact"/>
              <w:jc w:val="left"/>
            </w:pPr>
            <w:r>
              <w:t xml:space="preserve">Available on request; uploaded on the Central Supplier Database (CSD)</w:t>
            </w:r>
          </w:p>
        </w:tc>
      </w:tr>
      <w:tr>
        <w:tc>
          <w:p>
            <w:pPr>
              <w:pStyle w:val="Compact"/>
              <w:jc w:val="left"/>
            </w:pPr>
            <w:r>
              <w:t xml:space="preserve">Company registration details</w:t>
            </w:r>
          </w:p>
        </w:tc>
        <w:tc>
          <w:p>
            <w:pPr>
              <w:pStyle w:val="Compact"/>
              <w:jc w:val="left"/>
            </w:pPr>
            <w:r>
              <w:t xml:space="preserve">Available from CIPC</w:t>
            </w:r>
          </w:p>
        </w:tc>
      </w:tr>
    </w:tbl>
    <w:p>
      <w:r>
        <w:pict>
          <v:rect style="width:0;height:1.5pt" o:hralign="center" o:hrstd="t" o:hr="t"/>
        </w:pict>
      </w:r>
    </w:p>
    <w:p>
      <w:pPr>
        <w:pStyle w:val="Heading3"/>
      </w:pPr>
      <w:bookmarkStart w:id="27" w:name="X6b649733b19dfafe85b1971a56e2bf9dbb15a58"/>
      <w:r>
        <w:t xml:space="preserve">3.2 Records Held by Proaxis Solutions — Subject to Formal PAIA Request</w:t>
      </w:r>
      <w:bookmarkEnd w:id="27"/>
    </w:p>
    <w:p>
      <w:pPr>
        <w:pStyle w:val="FirstParagraph"/>
      </w:pPr>
      <w:r>
        <w:t xml:space="preserve">The following categories of records are held by Proaxis Solutions (Pty) Ltd and may be requested under PAIA, subject to the grounds for refusal set out in Part 5 of this manual.</w:t>
      </w:r>
    </w:p>
    <w:p>
      <w:pPr>
        <w:pStyle w:val="Heading4"/>
      </w:pPr>
      <w:bookmarkStart w:id="28" w:name="corporate-and-statutory-records"/>
      <w:r>
        <w:t xml:space="preserve">3.2.1 Corporate and Statutory Records</w:t>
      </w:r>
      <w:bookmarkEnd w:id="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Type of Records</w:t>
            </w:r>
          </w:p>
        </w:tc>
      </w:tr>
      <w:tr>
        <w:tc>
          <w:p>
            <w:pPr>
              <w:pStyle w:val="Compact"/>
              <w:jc w:val="left"/>
            </w:pPr>
            <w:r>
              <w:t xml:space="preserve">Company formation</w:t>
            </w:r>
          </w:p>
        </w:tc>
        <w:tc>
          <w:p>
            <w:pPr>
              <w:pStyle w:val="Compact"/>
              <w:jc w:val="left"/>
            </w:pPr>
            <w:r>
              <w:t xml:space="preserve">Memorandum of Incorporation (MOI), Certificate of Incorporation</w:t>
            </w:r>
          </w:p>
        </w:tc>
      </w:tr>
      <w:tr>
        <w:tc>
          <w:p>
            <w:pPr>
              <w:pStyle w:val="Compact"/>
              <w:jc w:val="left"/>
            </w:pPr>
            <w:r>
              <w:t xml:space="preserve">Ownership</w:t>
            </w:r>
          </w:p>
        </w:tc>
        <w:tc>
          <w:p>
            <w:pPr>
              <w:pStyle w:val="Compact"/>
              <w:jc w:val="left"/>
            </w:pPr>
            <w:r>
              <w:t xml:space="preserve">Securities register (share register), register of beneficial owners</w:t>
            </w:r>
          </w:p>
        </w:tc>
      </w:tr>
      <w:tr>
        <w:tc>
          <w:p>
            <w:pPr>
              <w:pStyle w:val="Compact"/>
              <w:jc w:val="left"/>
            </w:pPr>
            <w:r>
              <w:t xml:space="preserve">Directors</w:t>
            </w:r>
          </w:p>
        </w:tc>
        <w:tc>
          <w:p>
            <w:pPr>
              <w:pStyle w:val="Compact"/>
              <w:jc w:val="left"/>
            </w:pPr>
            <w:r>
              <w:t xml:space="preserve">Director register, director resolutions</w:t>
            </w:r>
          </w:p>
        </w:tc>
      </w:tr>
      <w:tr>
        <w:tc>
          <w:p>
            <w:pPr>
              <w:pStyle w:val="Compact"/>
              <w:jc w:val="left"/>
            </w:pPr>
            <w:r>
              <w:t xml:space="preserve">CIPC filings</w:t>
            </w:r>
          </w:p>
        </w:tc>
        <w:tc>
          <w:p>
            <w:pPr>
              <w:pStyle w:val="Compact"/>
              <w:jc w:val="left"/>
            </w:pPr>
            <w:r>
              <w:t xml:space="preserve">Annual return records, registered information</w:t>
            </w:r>
          </w:p>
        </w:tc>
      </w:tr>
      <w:tr>
        <w:tc>
          <w:p>
            <w:pPr>
              <w:pStyle w:val="Compact"/>
              <w:jc w:val="left"/>
            </w:pPr>
            <w:r>
              <w:t xml:space="preserve">Resolutions</w:t>
            </w:r>
          </w:p>
        </w:tc>
        <w:tc>
          <w:p>
            <w:pPr>
              <w:pStyle w:val="Compact"/>
              <w:jc w:val="left"/>
            </w:pPr>
            <w:r>
              <w:t xml:space="preserve">Director resolutions, company resolutions</w:t>
            </w:r>
          </w:p>
        </w:tc>
      </w:tr>
    </w:tbl>
    <w:p>
      <w:pPr>
        <w:pStyle w:val="Heading4"/>
      </w:pPr>
      <w:bookmarkStart w:id="29" w:name="financial-records"/>
      <w:r>
        <w:t xml:space="preserve">3.2.2 Financial Records</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Type of Records</w:t>
            </w:r>
          </w:p>
        </w:tc>
      </w:tr>
      <w:tr>
        <w:tc>
          <w:p>
            <w:pPr>
              <w:pStyle w:val="Compact"/>
              <w:jc w:val="left"/>
            </w:pPr>
            <w:r>
              <w:t xml:space="preserve">Annual financial statements</w:t>
            </w:r>
          </w:p>
        </w:tc>
        <w:tc>
          <w:p>
            <w:pPr>
              <w:pStyle w:val="Compact"/>
              <w:jc w:val="left"/>
            </w:pPr>
            <w:r>
              <w:t xml:space="preserve">Financial statements as prepared annually</w:t>
            </w:r>
          </w:p>
        </w:tc>
      </w:tr>
      <w:tr>
        <w:tc>
          <w:p>
            <w:pPr>
              <w:pStyle w:val="Compact"/>
              <w:jc w:val="left"/>
            </w:pPr>
            <w:r>
              <w:t xml:space="preserve">Tax records</w:t>
            </w:r>
          </w:p>
        </w:tc>
        <w:tc>
          <w:p>
            <w:pPr>
              <w:pStyle w:val="Compact"/>
              <w:jc w:val="left"/>
            </w:pPr>
            <w:r>
              <w:t xml:space="preserve">Corporate Income Tax returns (ITR14), SARS correspondence</w:t>
            </w:r>
          </w:p>
        </w:tc>
      </w:tr>
      <w:tr>
        <w:tc>
          <w:p>
            <w:pPr>
              <w:pStyle w:val="Compact"/>
              <w:jc w:val="left"/>
            </w:pPr>
            <w:r>
              <w:t xml:space="preserve">Banking records</w:t>
            </w:r>
          </w:p>
        </w:tc>
        <w:tc>
          <w:p>
            <w:pPr>
              <w:pStyle w:val="Compact"/>
              <w:jc w:val="left"/>
            </w:pPr>
            <w:r>
              <w:t xml:space="preserve">Bank statements, payment records</w:t>
            </w:r>
          </w:p>
        </w:tc>
      </w:tr>
      <w:tr>
        <w:tc>
          <w:p>
            <w:pPr>
              <w:pStyle w:val="Compact"/>
              <w:jc w:val="left"/>
            </w:pPr>
            <w:r>
              <w:t xml:space="preserve">Invoices</w:t>
            </w:r>
          </w:p>
        </w:tc>
        <w:tc>
          <w:p>
            <w:pPr>
              <w:pStyle w:val="Compact"/>
              <w:jc w:val="left"/>
            </w:pPr>
            <w:r>
              <w:t xml:space="preserve">Client invoices, supplier invoices</w:t>
            </w:r>
          </w:p>
        </w:tc>
      </w:tr>
      <w:tr>
        <w:tc>
          <w:p>
            <w:pPr>
              <w:pStyle w:val="Compact"/>
              <w:jc w:val="left"/>
            </w:pPr>
            <w:r>
              <w:t xml:space="preserve">Expense records</w:t>
            </w:r>
          </w:p>
        </w:tc>
        <w:tc>
          <w:p>
            <w:pPr>
              <w:pStyle w:val="Compact"/>
              <w:jc w:val="left"/>
            </w:pPr>
            <w:r>
              <w:t xml:space="preserve">Receipts, expense approvals</w:t>
            </w:r>
          </w:p>
        </w:tc>
      </w:tr>
    </w:tbl>
    <w:p>
      <w:pPr>
        <w:pStyle w:val="Heading4"/>
      </w:pPr>
      <w:bookmarkStart w:id="30" w:name="client-and-contract-records"/>
      <w:r>
        <w:t xml:space="preserve">3.2.3 Client and Contract Records</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Type of Records</w:t>
            </w:r>
          </w:p>
        </w:tc>
      </w:tr>
      <w:tr>
        <w:tc>
          <w:p>
            <w:pPr>
              <w:pStyle w:val="Compact"/>
              <w:jc w:val="left"/>
            </w:pPr>
            <w:r>
              <w:t xml:space="preserve">Client agreements</w:t>
            </w:r>
          </w:p>
        </w:tc>
        <w:tc>
          <w:p>
            <w:pPr>
              <w:pStyle w:val="Compact"/>
              <w:jc w:val="left"/>
            </w:pPr>
            <w:r>
              <w:t xml:space="preserve">Service agreements, Master Services Agreements</w:t>
            </w:r>
          </w:p>
        </w:tc>
      </w:tr>
      <w:tr>
        <w:tc>
          <w:p>
            <w:pPr>
              <w:pStyle w:val="Compact"/>
              <w:jc w:val="left"/>
            </w:pPr>
            <w:r>
              <w:t xml:space="preserve">Project records</w:t>
            </w:r>
          </w:p>
        </w:tc>
        <w:tc>
          <w:p>
            <w:pPr>
              <w:pStyle w:val="Compact"/>
              <w:jc w:val="left"/>
            </w:pPr>
            <w:r>
              <w:t xml:space="preserve">Scope of work documents, project delivery records</w:t>
            </w:r>
          </w:p>
        </w:tc>
      </w:tr>
      <w:tr>
        <w:tc>
          <w:p>
            <w:pPr>
              <w:pStyle w:val="Compact"/>
              <w:jc w:val="left"/>
            </w:pPr>
            <w:r>
              <w:t xml:space="preserve">Correspondence</w:t>
            </w:r>
          </w:p>
        </w:tc>
        <w:tc>
          <w:p>
            <w:pPr>
              <w:pStyle w:val="Compact"/>
              <w:jc w:val="left"/>
            </w:pPr>
            <w:r>
              <w:t xml:space="preserve">Client communications, project reports</w:t>
            </w:r>
          </w:p>
        </w:tc>
      </w:tr>
      <w:tr>
        <w:tc>
          <w:p>
            <w:pPr>
              <w:pStyle w:val="Compact"/>
              <w:jc w:val="left"/>
            </w:pPr>
            <w:r>
              <w:t xml:space="preserve">Proposals</w:t>
            </w:r>
          </w:p>
        </w:tc>
        <w:tc>
          <w:p>
            <w:pPr>
              <w:pStyle w:val="Compact"/>
              <w:jc w:val="left"/>
            </w:pPr>
            <w:r>
              <w:t xml:space="preserve">Submitted proposals and quotations</w:t>
            </w:r>
          </w:p>
        </w:tc>
      </w:tr>
    </w:tbl>
    <w:p>
      <w:pPr>
        <w:pStyle w:val="Heading4"/>
      </w:pPr>
      <w:bookmarkStart w:id="31" w:name="human-resources-records-when-applicable"/>
      <w:r>
        <w:t xml:space="preserve">3.2.4 Human Resources Records (When Applicable)</w:t>
      </w:r>
      <w:bookmarkEnd w:id="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Type of Records</w:t>
            </w:r>
          </w:p>
        </w:tc>
      </w:tr>
      <w:tr>
        <w:tc>
          <w:p>
            <w:pPr>
              <w:pStyle w:val="Compact"/>
              <w:jc w:val="left"/>
            </w:pPr>
            <w:r>
              <w:t xml:space="preserve">Employment records</w:t>
            </w:r>
          </w:p>
        </w:tc>
        <w:tc>
          <w:p>
            <w:pPr>
              <w:pStyle w:val="Compact"/>
              <w:jc w:val="left"/>
            </w:pPr>
            <w:r>
              <w:t xml:space="preserve">Employment contracts, written particulars of employment</w:t>
            </w:r>
          </w:p>
        </w:tc>
      </w:tr>
      <w:tr>
        <w:tc>
          <w:p>
            <w:pPr>
              <w:pStyle w:val="Compact"/>
              <w:jc w:val="left"/>
            </w:pPr>
            <w:r>
              <w:t xml:space="preserve">Payroll records</w:t>
            </w:r>
          </w:p>
        </w:tc>
        <w:tc>
          <w:p>
            <w:pPr>
              <w:pStyle w:val="Compact"/>
              <w:jc w:val="left"/>
            </w:pPr>
            <w:r>
              <w:t xml:space="preserve">Remuneration records, payslips (when employees are engaged)</w:t>
            </w:r>
          </w:p>
        </w:tc>
      </w:tr>
      <w:tr>
        <w:tc>
          <w:p>
            <w:pPr>
              <w:pStyle w:val="Compact"/>
              <w:jc w:val="left"/>
            </w:pPr>
            <w:r>
              <w:t xml:space="preserve">Leave records</w:t>
            </w:r>
          </w:p>
        </w:tc>
        <w:tc>
          <w:p>
            <w:pPr>
              <w:pStyle w:val="Compact"/>
              <w:jc w:val="left"/>
            </w:pPr>
            <w:r>
              <w:t xml:space="preserve">Leave requests and approvals</w:t>
            </w:r>
          </w:p>
        </w:tc>
      </w:tr>
      <w:tr>
        <w:tc>
          <w:p>
            <w:pPr>
              <w:pStyle w:val="Compact"/>
              <w:jc w:val="left"/>
            </w:pPr>
            <w:r>
              <w:t xml:space="preserve">Disciplinary records</w:t>
            </w:r>
          </w:p>
        </w:tc>
        <w:tc>
          <w:p>
            <w:pPr>
              <w:pStyle w:val="Compact"/>
              <w:jc w:val="left"/>
            </w:pPr>
            <w:r>
              <w:t xml:space="preserve">Warnings, disciplinary proceedings</w:t>
            </w:r>
          </w:p>
        </w:tc>
      </w:tr>
    </w:tbl>
    <w:p>
      <w:pPr>
        <w:pStyle w:val="BlockText"/>
      </w:pPr>
      <w:r>
        <w:rPr>
          <w:b/>
        </w:rPr>
        <w:t xml:space="preserve">Note:</w:t>
      </w:r>
      <w:r>
        <w:t xml:space="preserve"> Proaxis Solutions currently has no employees. These records will be maintained when staff are engaged.</w:t>
      </w:r>
    </w:p>
    <w:p>
      <w:pPr>
        <w:pStyle w:val="Heading4"/>
      </w:pPr>
      <w:bookmarkStart w:id="32" w:name="technology-and-data-records"/>
      <w:r>
        <w:t xml:space="preserve">3.2.5 Technology and Data Records</w:t>
      </w:r>
      <w:bookmarkEnd w:id="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Type of Records</w:t>
            </w:r>
          </w:p>
        </w:tc>
      </w:tr>
      <w:tr>
        <w:tc>
          <w:p>
            <w:pPr>
              <w:pStyle w:val="Compact"/>
              <w:jc w:val="left"/>
            </w:pPr>
            <w:r>
              <w:t xml:space="preserve">System logs</w:t>
            </w:r>
          </w:p>
        </w:tc>
        <w:tc>
          <w:p>
            <w:pPr>
              <w:pStyle w:val="Compact"/>
              <w:jc w:val="left"/>
            </w:pPr>
            <w:r>
              <w:t xml:space="preserve">Access logs, system activity records</w:t>
            </w:r>
          </w:p>
        </w:tc>
      </w:tr>
      <w:tr>
        <w:tc>
          <w:p>
            <w:pPr>
              <w:pStyle w:val="Compact"/>
              <w:jc w:val="left"/>
            </w:pPr>
            <w:r>
              <w:t xml:space="preserve">Data processing records</w:t>
            </w:r>
          </w:p>
        </w:tc>
        <w:tc>
          <w:p>
            <w:pPr>
              <w:pStyle w:val="Compact"/>
              <w:jc w:val="left"/>
            </w:pPr>
            <w:r>
              <w:t xml:space="preserve">Records of personal information processing activities</w:t>
            </w:r>
          </w:p>
        </w:tc>
      </w:tr>
      <w:tr>
        <w:tc>
          <w:p>
            <w:pPr>
              <w:pStyle w:val="Compact"/>
              <w:jc w:val="left"/>
            </w:pPr>
            <w:r>
              <w:t xml:space="preserve">Security records</w:t>
            </w:r>
          </w:p>
        </w:tc>
        <w:tc>
          <w:p>
            <w:pPr>
              <w:pStyle w:val="Compact"/>
              <w:jc w:val="left"/>
            </w:pPr>
            <w:r>
              <w:t xml:space="preserve">Incident logs, data breach records</w:t>
            </w:r>
          </w:p>
        </w:tc>
      </w:tr>
      <w:tr>
        <w:tc>
          <w:p>
            <w:pPr>
              <w:pStyle w:val="Compact"/>
              <w:jc w:val="left"/>
            </w:pPr>
            <w:r>
              <w:t xml:space="preserve">Software documentation</w:t>
            </w:r>
          </w:p>
        </w:tc>
        <w:tc>
          <w:p>
            <w:pPr>
              <w:pStyle w:val="Compact"/>
              <w:jc w:val="left"/>
            </w:pPr>
            <w:r>
              <w:t xml:space="preserve">System design documents, technical specifications</w:t>
            </w:r>
          </w:p>
        </w:tc>
      </w:tr>
    </w:tbl>
    <w:p>
      <w:pPr>
        <w:pStyle w:val="Heading4"/>
      </w:pPr>
      <w:bookmarkStart w:id="33" w:name="compliance-and-governance-records"/>
      <w:r>
        <w:t xml:space="preserve">3.2.6 Compliance and Governance Records</w:t>
      </w:r>
      <w:bookmarkEnd w:id="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Type of Records</w:t>
            </w:r>
          </w:p>
        </w:tc>
      </w:tr>
      <w:tr>
        <w:tc>
          <w:p>
            <w:pPr>
              <w:pStyle w:val="Compact"/>
              <w:jc w:val="left"/>
            </w:pPr>
            <w:r>
              <w:t xml:space="preserve">PAIA compliance</w:t>
            </w:r>
          </w:p>
        </w:tc>
        <w:tc>
          <w:p>
            <w:pPr>
              <w:pStyle w:val="Compact"/>
              <w:jc w:val="left"/>
            </w:pPr>
            <w:r>
              <w:t xml:space="preserve">This manual, PAIA request register</w:t>
            </w:r>
          </w:p>
        </w:tc>
      </w:tr>
      <w:tr>
        <w:tc>
          <w:p>
            <w:pPr>
              <w:pStyle w:val="Compact"/>
              <w:jc w:val="left"/>
            </w:pPr>
            <w:r>
              <w:t xml:space="preserve">POPIA compliance</w:t>
            </w:r>
          </w:p>
        </w:tc>
        <w:tc>
          <w:p>
            <w:pPr>
              <w:pStyle w:val="Compact"/>
              <w:jc w:val="left"/>
            </w:pPr>
            <w:r>
              <w:t xml:space="preserve">POPIA Policy, Privacy Notice, Data Processing Register</w:t>
            </w:r>
          </w:p>
        </w:tc>
      </w:tr>
      <w:tr>
        <w:tc>
          <w:p>
            <w:pPr>
              <w:pStyle w:val="Compact"/>
              <w:jc w:val="left"/>
            </w:pPr>
            <w:r>
              <w:t xml:space="preserve">Information Officer register</w:t>
            </w:r>
          </w:p>
        </w:tc>
        <w:tc>
          <w:p>
            <w:pPr>
              <w:pStyle w:val="Compact"/>
              <w:jc w:val="left"/>
            </w:pPr>
            <w:r>
              <w:t xml:space="preserve">Log of all PAIA and POPIA requests</w:t>
            </w:r>
          </w:p>
        </w:tc>
      </w:tr>
      <w:tr>
        <w:tc>
          <w:p>
            <w:pPr>
              <w:pStyle w:val="Compact"/>
              <w:jc w:val="left"/>
            </w:pPr>
            <w:r>
              <w:t xml:space="preserve">Audit records</w:t>
            </w:r>
          </w:p>
        </w:tc>
        <w:tc>
          <w:p>
            <w:pPr>
              <w:pStyle w:val="Compact"/>
              <w:jc w:val="left"/>
            </w:pPr>
            <w:r>
              <w:t xml:space="preserve">Internal compliance audits</w:t>
            </w:r>
          </w:p>
        </w:tc>
      </w:tr>
      <w:tr>
        <w:tc>
          <w:p>
            <w:pPr>
              <w:pStyle w:val="Compact"/>
              <w:jc w:val="left"/>
            </w:pPr>
            <w:r>
              <w:t xml:space="preserve">Regulatory correspondence</w:t>
            </w:r>
          </w:p>
        </w:tc>
        <w:tc>
          <w:p>
            <w:pPr>
              <w:pStyle w:val="Compact"/>
              <w:jc w:val="left"/>
            </w:pPr>
            <w:r>
              <w:t xml:space="preserve">Correspondence with the Information Regulator, SARS, CIPC</w:t>
            </w:r>
          </w:p>
        </w:tc>
      </w:tr>
    </w:tbl>
    <w:p>
      <w:pPr>
        <w:pStyle w:val="Heading4"/>
      </w:pPr>
      <w:bookmarkStart w:id="34" w:name="supplier-and-tender-records"/>
      <w:r>
        <w:t xml:space="preserve">3.2.7 Supplier and Tender Records</w:t>
      </w:r>
      <w:bookmarkEnd w:id="3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Type of Records</w:t>
            </w:r>
          </w:p>
        </w:tc>
      </w:tr>
      <w:tr>
        <w:tc>
          <w:p>
            <w:pPr>
              <w:pStyle w:val="Compact"/>
              <w:jc w:val="left"/>
            </w:pPr>
            <w:r>
              <w:t xml:space="preserve">CSD registration</w:t>
            </w:r>
          </w:p>
        </w:tc>
        <w:tc>
          <w:p>
            <w:pPr>
              <w:pStyle w:val="Compact"/>
              <w:jc w:val="left"/>
            </w:pPr>
            <w:r>
              <w:t xml:space="preserve">CSD profile records</w:t>
            </w:r>
          </w:p>
        </w:tc>
      </w:tr>
      <w:tr>
        <w:tc>
          <w:p>
            <w:pPr>
              <w:pStyle w:val="Compact"/>
              <w:jc w:val="left"/>
            </w:pPr>
            <w:r>
              <w:t xml:space="preserve">Tender documentation</w:t>
            </w:r>
          </w:p>
        </w:tc>
        <w:tc>
          <w:p>
            <w:pPr>
              <w:pStyle w:val="Compact"/>
              <w:jc w:val="left"/>
            </w:pPr>
            <w:r>
              <w:t xml:space="preserve">Submitted tenders, bid documents</w:t>
            </w:r>
          </w:p>
        </w:tc>
      </w:tr>
      <w:tr>
        <w:tc>
          <w:p>
            <w:pPr>
              <w:pStyle w:val="Compact"/>
              <w:jc w:val="left"/>
            </w:pPr>
            <w:r>
              <w:t xml:space="preserve">B-BBEE documentation</w:t>
            </w:r>
          </w:p>
        </w:tc>
        <w:tc>
          <w:p>
            <w:pPr>
              <w:pStyle w:val="Compact"/>
              <w:jc w:val="left"/>
            </w:pPr>
            <w:r>
              <w:t xml:space="preserve">EME certificates, sworn affidavits</w:t>
            </w:r>
          </w:p>
        </w:tc>
      </w:tr>
      <w:tr>
        <w:tc>
          <w:p>
            <w:pPr>
              <w:pStyle w:val="Compact"/>
              <w:jc w:val="left"/>
            </w:pPr>
            <w:r>
              <w:t xml:space="preserve">Supplier agreements</w:t>
            </w:r>
          </w:p>
        </w:tc>
        <w:tc>
          <w:p>
            <w:pPr>
              <w:pStyle w:val="Compact"/>
              <w:jc w:val="left"/>
            </w:pPr>
            <w:r>
              <w:t xml:space="preserve">Agreements with technology suppliers and service providers</w:t>
            </w:r>
          </w:p>
        </w:tc>
      </w:tr>
    </w:tbl>
    <w:p>
      <w:r>
        <w:pict>
          <v:rect style="width:0;height:1.5pt" o:hralign="center" o:hrstd="t" o:hr="t"/>
        </w:pict>
      </w:r>
    </w:p>
    <w:p>
      <w:pPr>
        <w:pStyle w:val="Heading2"/>
      </w:pPr>
      <w:bookmarkStart w:id="35" w:name="part-4-request-procedure"/>
      <w:r>
        <w:t xml:space="preserve">PART 4 — REQUEST PROCEDURE</w:t>
      </w:r>
      <w:bookmarkEnd w:id="35"/>
    </w:p>
    <w:p>
      <w:pPr>
        <w:pStyle w:val="Heading3"/>
      </w:pPr>
      <w:bookmarkStart w:id="36" w:name="how-to-submit-a-request"/>
      <w:r>
        <w:t xml:space="preserve">4.1 How to Submit a Request</w:t>
      </w:r>
      <w:bookmarkEnd w:id="36"/>
    </w:p>
    <w:p>
      <w:pPr>
        <w:pStyle w:val="FirstParagraph"/>
      </w:pPr>
      <w:r>
        <w:t xml:space="preserve">Any person may request access to records held by Proaxis Solutions (Pty) Ltd by submitting a request to the Information Officer in the following ways:</w:t>
      </w:r>
    </w:p>
    <w:p>
      <w:pPr>
        <w:pStyle w:val="BodyText"/>
      </w:pPr>
      <w:r>
        <w:rPr>
          <w:b/>
        </w:rPr>
        <w:t xml:space="preserve">Option A — Prescribed Form C</w:t>
      </w:r>
      <w:r>
        <w:t xml:space="preserve"> Submit a completed Form C as prescribed under the PAIA Regulations. [VERIFY: current Form C and Regulation reference — available from the Information Regulator at www.inforegulator.org.za]</w:t>
      </w:r>
    </w:p>
    <w:p>
      <w:pPr>
        <w:pStyle w:val="BodyText"/>
      </w:pPr>
      <w:r>
        <w:rPr>
          <w:b/>
        </w:rPr>
        <w:t xml:space="preserve">Option B — Written Request</w:t>
      </w:r>
      <w:r>
        <w:t xml:space="preserve"> Submit a written request addressed to the Information Officer at the contact details in Part 1 of this manual. The written request must include:</w:t>
      </w:r>
    </w:p>
    <w:p>
      <w:pPr>
        <w:numPr>
          <w:ilvl w:val="0"/>
          <w:numId w:val="1002"/>
        </w:numPr>
        <w:pStyle w:val="Compact"/>
      </w:pPr>
      <w:r>
        <w:t xml:space="preserve">The requestor’s full name, contact details, and postal/email address for delivery of the response;</w:t>
      </w:r>
    </w:p>
    <w:p>
      <w:pPr>
        <w:numPr>
          <w:ilvl w:val="0"/>
          <w:numId w:val="1002"/>
        </w:numPr>
        <w:pStyle w:val="Compact"/>
      </w:pPr>
      <w:r>
        <w:t xml:space="preserve">A description of the record(s) requested (with as much detail as possible to enable identification of the record);</w:t>
      </w:r>
    </w:p>
    <w:p>
      <w:pPr>
        <w:numPr>
          <w:ilvl w:val="0"/>
          <w:numId w:val="1002"/>
        </w:numPr>
        <w:pStyle w:val="Compact"/>
      </w:pPr>
      <w:r>
        <w:t xml:space="preserve">The form in which the requestor wishes to receive access (e.g., inspection, photocopy, electronic copy);</w:t>
      </w:r>
    </w:p>
    <w:p>
      <w:pPr>
        <w:numPr>
          <w:ilvl w:val="0"/>
          <w:numId w:val="1002"/>
        </w:numPr>
        <w:pStyle w:val="Compact"/>
      </w:pPr>
      <w:r>
        <w:t xml:space="preserve">If the requestor is making the request on behalf of another person, proof of that authority.</w:t>
      </w:r>
    </w:p>
    <w:p>
      <w:pPr>
        <w:pStyle w:val="Heading3"/>
      </w:pPr>
      <w:bookmarkStart w:id="37" w:name="access-fees"/>
      <w:r>
        <w:t xml:space="preserve">4.2 Access Fees</w:t>
      </w:r>
      <w:bookmarkEnd w:id="37"/>
    </w:p>
    <w:p>
      <w:pPr>
        <w:pStyle w:val="FirstParagraph"/>
      </w:pPr>
      <w:r>
        <w:t xml:space="preserve">Access fees are payable as prescribed under the PAIA Regulations. [VERIFY: current prescribed fees via the Information Regulator. Fees are typically set by regulation and are subject to change.]</w:t>
      </w:r>
    </w:p>
    <w:p>
      <w:pPr>
        <w:pStyle w:val="BlockText"/>
      </w:pPr>
      <w:r>
        <w:rPr>
          <w:b/>
        </w:rPr>
        <w:t xml:space="preserve">Note:</w:t>
      </w:r>
      <w:r>
        <w:t xml:space="preserve"> Proaxis Solutions reserves the right to request payment of any applicable reproduction and access fees before providing access to records, in accordance with the prescribed fee schedule.</w:t>
      </w:r>
    </w:p>
    <w:p>
      <w:pPr>
        <w:pStyle w:val="Heading3"/>
      </w:pPr>
      <w:bookmarkStart w:id="38" w:name="response-timelines"/>
      <w:r>
        <w:t xml:space="preserve">4.3 Response Timelines</w:t>
      </w:r>
      <w:bookmarkEnd w:id="38"/>
    </w:p>
    <w:p>
      <w:pPr>
        <w:pStyle w:val="FirstParagraph"/>
      </w:pPr>
      <w:r>
        <w:t xml:space="preserve">Proaxis Solutions will respond to a request for access to information within the timeframes prescribed by PAIA. [VERIFY: current prescribed response periods — typically 30 days from receipt of the request, with possible extension of a further 30 days in prescribed circumstances.]</w:t>
      </w:r>
    </w:p>
    <w:p>
      <w:pPr>
        <w:pStyle w:val="BodyText"/>
      </w:pPr>
      <w:r>
        <w:t xml:space="preserve">The Information Officer will:</w:t>
      </w:r>
    </w:p>
    <w:p>
      <w:pPr>
        <w:numPr>
          <w:ilvl w:val="0"/>
          <w:numId w:val="1003"/>
        </w:numPr>
        <w:pStyle w:val="Compact"/>
      </w:pPr>
      <w:r>
        <w:t xml:space="preserve">Acknowledge receipt of the request;</w:t>
      </w:r>
    </w:p>
    <w:p>
      <w:pPr>
        <w:numPr>
          <w:ilvl w:val="0"/>
          <w:numId w:val="1003"/>
        </w:numPr>
        <w:pStyle w:val="Compact"/>
      </w:pPr>
      <w:r>
        <w:t xml:space="preserve">Notify the requestor of any applicable access fee;</w:t>
      </w:r>
    </w:p>
    <w:p>
      <w:pPr>
        <w:numPr>
          <w:ilvl w:val="0"/>
          <w:numId w:val="1003"/>
        </w:numPr>
        <w:pStyle w:val="Compact"/>
      </w:pPr>
      <w:r>
        <w:t xml:space="preserve">Decide whether to grant or refuse the request;</w:t>
      </w:r>
    </w:p>
    <w:p>
      <w:pPr>
        <w:numPr>
          <w:ilvl w:val="0"/>
          <w:numId w:val="1003"/>
        </w:numPr>
        <w:pStyle w:val="Compact"/>
      </w:pPr>
      <w:r>
        <w:t xml:space="preserve">Notify the requestor in writing of the decision and the reasons for it (if refused).</w:t>
      </w:r>
    </w:p>
    <w:p>
      <w:r>
        <w:pict>
          <v:rect style="width:0;height:1.5pt" o:hralign="center" o:hrstd="t" o:hr="t"/>
        </w:pict>
      </w:r>
    </w:p>
    <w:p>
      <w:pPr>
        <w:pStyle w:val="Heading2"/>
      </w:pPr>
      <w:bookmarkStart w:id="39" w:name="part-5-grounds-for-refusal-of-access"/>
      <w:r>
        <w:t xml:space="preserve">PART 5 — GROUNDS FOR REFUSAL OF ACCESS</w:t>
      </w:r>
      <w:bookmarkEnd w:id="39"/>
    </w:p>
    <w:p>
      <w:pPr>
        <w:pStyle w:val="FirstParagraph"/>
      </w:pPr>
      <w:r>
        <w:t xml:space="preserve">Access to records may be refused on the grounds set out in Chapter 4 of PAIA. [VERIFY: current provisions.] These grounds include, but are not limited to:</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Ground</w:t>
            </w:r>
          </w:p>
        </w:tc>
        <w:tc>
          <w:tcPr>
            <w:tcBorders>
              <w:bottom w:val="single"/>
            </w:tcBorders>
            <w:vAlign w:val="bottom"/>
          </w:tcPr>
          <w:p>
            <w:pPr>
              <w:pStyle w:val="Compact"/>
              <w:jc w:val="left"/>
            </w:pPr>
            <w:r>
              <w:t xml:space="preserve">Description</w:t>
            </w:r>
          </w:p>
        </w:tc>
      </w:tr>
      <w:tr>
        <w:tc>
          <w:p>
            <w:pPr>
              <w:pStyle w:val="Compact"/>
              <w:jc w:val="left"/>
            </w:pPr>
            <w:r>
              <w:t xml:space="preserve">Protection of personal information of third parties</w:t>
            </w:r>
          </w:p>
        </w:tc>
        <w:tc>
          <w:p>
            <w:pPr>
              <w:pStyle w:val="Compact"/>
              <w:jc w:val="left"/>
            </w:pPr>
            <w:r>
              <w:t xml:space="preserve">Where disclosure would unreasonably disclose personal information of a third party</w:t>
            </w:r>
          </w:p>
        </w:tc>
      </w:tr>
      <w:tr>
        <w:tc>
          <w:p>
            <w:pPr>
              <w:pStyle w:val="Compact"/>
              <w:jc w:val="left"/>
            </w:pPr>
            <w:r>
              <w:t xml:space="preserve">Protection of commercial information</w:t>
            </w:r>
          </w:p>
        </w:tc>
        <w:tc>
          <w:p>
            <w:pPr>
              <w:pStyle w:val="Compact"/>
              <w:jc w:val="left"/>
            </w:pPr>
            <w:r>
              <w:t xml:space="preserve">Where records contain trade secrets or confidential commercial information</w:t>
            </w:r>
          </w:p>
        </w:tc>
      </w:tr>
      <w:tr>
        <w:tc>
          <w:p>
            <w:pPr>
              <w:pStyle w:val="Compact"/>
              <w:jc w:val="left"/>
            </w:pPr>
            <w:r>
              <w:t xml:space="preserve">Protection of safety of individuals</w:t>
            </w:r>
          </w:p>
        </w:tc>
        <w:tc>
          <w:p>
            <w:pPr>
              <w:pStyle w:val="Compact"/>
              <w:jc w:val="left"/>
            </w:pPr>
            <w:r>
              <w:t xml:space="preserve">Where disclosure could endanger the life or safety of any person</w:t>
            </w:r>
          </w:p>
        </w:tc>
      </w:tr>
      <w:tr>
        <w:tc>
          <w:p>
            <w:pPr>
              <w:pStyle w:val="Compact"/>
              <w:jc w:val="left"/>
            </w:pPr>
            <w:r>
              <w:t xml:space="preserve">Protection of privileged legal communications</w:t>
            </w:r>
          </w:p>
        </w:tc>
        <w:tc>
          <w:p>
            <w:pPr>
              <w:pStyle w:val="Compact"/>
              <w:jc w:val="left"/>
            </w:pPr>
            <w:r>
              <w:t xml:space="preserve">Legally privileged communications with an attorney</w:t>
            </w:r>
          </w:p>
        </w:tc>
      </w:tr>
      <w:tr>
        <w:tc>
          <w:p>
            <w:pPr>
              <w:pStyle w:val="Compact"/>
              <w:jc w:val="left"/>
            </w:pPr>
            <w:r>
              <w:t xml:space="preserve">Protection of research information</w:t>
            </w:r>
          </w:p>
        </w:tc>
        <w:tc>
          <w:p>
            <w:pPr>
              <w:pStyle w:val="Compact"/>
              <w:jc w:val="left"/>
            </w:pPr>
            <w:r>
              <w:t xml:space="preserve">Premature disclosure of unpublished research</w:t>
            </w:r>
          </w:p>
        </w:tc>
      </w:tr>
      <w:tr>
        <w:tc>
          <w:p>
            <w:pPr>
              <w:pStyle w:val="Compact"/>
              <w:jc w:val="left"/>
            </w:pPr>
            <w:r>
              <w:t xml:space="preserve">Records not held</w:t>
            </w:r>
          </w:p>
        </w:tc>
        <w:tc>
          <w:p>
            <w:pPr>
              <w:pStyle w:val="Compact"/>
              <w:jc w:val="left"/>
            </w:pPr>
            <w:r>
              <w:t xml:space="preserve">Where the record does not exist or is not held by Proaxis Solutions</w:t>
            </w:r>
          </w:p>
        </w:tc>
      </w:tr>
      <w:tr>
        <w:tc>
          <w:p>
            <w:pPr>
              <w:pStyle w:val="Compact"/>
              <w:jc w:val="left"/>
            </w:pPr>
            <w:r>
              <w:t xml:space="preserve">Manifestly frivolous or vexatious requests</w:t>
            </w:r>
          </w:p>
        </w:tc>
        <w:tc>
          <w:p>
            <w:pPr>
              <w:pStyle w:val="Compact"/>
              <w:jc w:val="left"/>
            </w:pPr>
            <w:r>
              <w:t xml:space="preserve">Requests made in bad faith or to harass</w:t>
            </w:r>
          </w:p>
        </w:tc>
      </w:tr>
    </w:tbl>
    <w:p>
      <w:pPr>
        <w:pStyle w:val="BodyText"/>
      </w:pPr>
      <w:r>
        <w:t xml:space="preserve">Where access is refused, the Information Officer will provide written reasons for the refusal, referencing the applicable PAIA provision.</w:t>
      </w:r>
    </w:p>
    <w:p>
      <w:r>
        <w:pict>
          <v:rect style="width:0;height:1.5pt" o:hralign="center" o:hrstd="t" o:hr="t"/>
        </w:pict>
      </w:r>
    </w:p>
    <w:p>
      <w:pPr>
        <w:pStyle w:val="Heading2"/>
      </w:pPr>
      <w:bookmarkStart w:id="40" w:name="part-6-remedies-if-access-is-refused"/>
      <w:r>
        <w:t xml:space="preserve">PART 6 — REMEDIES IF ACCESS IS REFUSED</w:t>
      </w:r>
      <w:bookmarkEnd w:id="40"/>
    </w:p>
    <w:p>
      <w:pPr>
        <w:pStyle w:val="FirstParagraph"/>
      </w:pPr>
      <w:r>
        <w:t xml:space="preserve">If a requestor is not satisfied with Proaxis Solutions’ decision, the following remedies are available:</w:t>
      </w:r>
    </w:p>
    <w:p>
      <w:pPr>
        <w:pStyle w:val="BodyText"/>
      </w:pPr>
      <w:r>
        <w:rPr>
          <w:b/>
        </w:rPr>
        <w:t xml:space="preserve">6.1 Internal Appeal</w:t>
      </w:r>
      <w:r>
        <w:t xml:space="preserve"> There is no internal appeal mechanism prescribed for private bodies under PAIA. Proaxis Solutions will accept and consider any written representation from a requestor who believes a decision was made in error.</w:t>
      </w:r>
    </w:p>
    <w:p>
      <w:pPr>
        <w:pStyle w:val="BodyText"/>
      </w:pPr>
      <w:r>
        <w:rPr>
          <w:b/>
        </w:rPr>
        <w:t xml:space="preserve">6.2 Application to the Information Regulator</w:t>
      </w:r>
      <w:r>
        <w:t xml:space="preserve"> A requestor may lodge a complaint with the Information Regulator of South Africa if they believe their request has been improperly refused. [VERIFY: current Information Regulator complaint procedure and contact details — www.inforegulator.org.za]</w:t>
      </w:r>
    </w:p>
    <w:p>
      <w:pPr>
        <w:pStyle w:val="BodyText"/>
      </w:pPr>
      <w:r>
        <w:rPr>
          <w:b/>
        </w:rPr>
        <w:t xml:space="preserve">6.3 Court Application</w:t>
      </w:r>
      <w:r>
        <w:t xml:space="preserve"> A requestor may approach a court with jurisdiction to review the decision to refuse access, in accordance with PAIA. [VERIFY: current PAIA court application provisions.]</w:t>
      </w:r>
    </w:p>
    <w:p>
      <w:r>
        <w:pict>
          <v:rect style="width:0;height:1.5pt" o:hralign="center" o:hrstd="t" o:hr="t"/>
        </w:pict>
      </w:r>
    </w:p>
    <w:p>
      <w:pPr>
        <w:pStyle w:val="Heading2"/>
      </w:pPr>
      <w:bookmarkStart w:id="41" w:name="part-7-paia-and-popia-cross-reference"/>
      <w:r>
        <w:t xml:space="preserve">PART 7 — PAIA AND POPIA CROSS-REFERENCE</w:t>
      </w:r>
      <w:bookmarkEnd w:id="41"/>
    </w:p>
    <w:p>
      <w:pPr>
        <w:pStyle w:val="FirstParagraph"/>
      </w:pPr>
      <w:r>
        <w:t xml:space="preserve">Proaxis Solutions processes personal information in accordance with the </w:t>
      </w:r>
      <w:r>
        <w:rPr>
          <w:b/>
        </w:rPr>
        <w:t xml:space="preserve">Protection of Personal Information Act 4 of 2013 (POPIA)</w:t>
      </w:r>
      <w:r>
        <w:t xml:space="preserve">. The company’s Privacy Notice and POPIA Policy are published on the company website at www.proaxissolutions.co.za.</w:t>
      </w:r>
    </w:p>
    <w:p>
      <w:pPr>
        <w:pStyle w:val="BodyText"/>
      </w:pPr>
      <w:r>
        <w:t xml:space="preserve">Where a request for access to information relates to personal information about the requestor, such requests may be processed under both PAIA and POPIA as applicable.</w:t>
      </w:r>
    </w:p>
    <w:p>
      <w:pPr>
        <w:pStyle w:val="BodyText"/>
      </w:pPr>
      <w:r>
        <w:t xml:space="preserve">The Information Officer (Reference: 2025-058837) is responsible for all requests under both PAIA and POPIA.</w:t>
      </w:r>
    </w:p>
    <w:p>
      <w:r>
        <w:pict>
          <v:rect style="width:0;height:1.5pt" o:hralign="center" o:hrstd="t" o:hr="t"/>
        </w:pict>
      </w:r>
    </w:p>
    <w:p>
      <w:pPr>
        <w:pStyle w:val="Heading2"/>
      </w:pPr>
      <w:bookmarkStart w:id="42" w:name="part-8-annual-review-and-updates"/>
      <w:r>
        <w:t xml:space="preserve">PART 8 — ANNUAL REVIEW AND UPDATES</w:t>
      </w:r>
      <w:bookmarkEnd w:id="42"/>
    </w:p>
    <w:p>
      <w:pPr>
        <w:pStyle w:val="FirstParagraph"/>
      </w:pPr>
      <w:r>
        <w:t xml:space="preserve">This manual will be reviewed and updated annually, or sooner if required by changes in:</w:t>
      </w:r>
    </w:p>
    <w:p>
      <w:pPr>
        <w:numPr>
          <w:ilvl w:val="0"/>
          <w:numId w:val="1004"/>
        </w:numPr>
        <w:pStyle w:val="Compact"/>
      </w:pPr>
      <w:r>
        <w:t xml:space="preserve">South African legislation;</w:t>
      </w:r>
    </w:p>
    <w:p>
      <w:pPr>
        <w:numPr>
          <w:ilvl w:val="0"/>
          <w:numId w:val="1004"/>
        </w:numPr>
        <w:pStyle w:val="Compact"/>
      </w:pPr>
      <w:r>
        <w:t xml:space="preserve">Information Regulator requirements;</w:t>
      </w:r>
    </w:p>
    <w:p>
      <w:pPr>
        <w:numPr>
          <w:ilvl w:val="0"/>
          <w:numId w:val="1004"/>
        </w:numPr>
        <w:pStyle w:val="Compact"/>
      </w:pPr>
      <w:r>
        <w:t xml:space="preserve">The company’s records structure or contact details;</w:t>
      </w:r>
    </w:p>
    <w:p>
      <w:pPr>
        <w:numPr>
          <w:ilvl w:val="0"/>
          <w:numId w:val="1004"/>
        </w:numPr>
        <w:pStyle w:val="Compact"/>
      </w:pPr>
      <w:r>
        <w:t xml:space="preserve">The appointment of a new Information Officer.</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Review Item</w:t>
            </w:r>
          </w:p>
        </w:tc>
        <w:tc>
          <w:tcPr>
            <w:tcBorders>
              <w:bottom w:val="single"/>
            </w:tcBorders>
            <w:vAlign w:val="bottom"/>
          </w:tcPr>
          <w:p>
            <w:pPr>
              <w:pStyle w:val="Compact"/>
              <w:jc w:val="left"/>
            </w:pPr>
            <w:r>
              <w:t xml:space="preserve">Status</w:t>
            </w:r>
          </w:p>
        </w:tc>
      </w:tr>
      <w:tr>
        <w:tc>
          <w:p>
            <w:pPr>
              <w:pStyle w:val="Compact"/>
              <w:jc w:val="left"/>
            </w:pPr>
            <w:r>
              <w:t xml:space="preserve">Next annual review</w:t>
            </w:r>
          </w:p>
        </w:tc>
        <w:tc>
          <w:p>
            <w:pPr>
              <w:pStyle w:val="Compact"/>
              <w:jc w:val="left"/>
            </w:pPr>
            <w:r>
              <w:t xml:space="preserve">June 2027</w:t>
            </w:r>
          </w:p>
        </w:tc>
      </w:tr>
      <w:tr>
        <w:tc>
          <w:p>
            <w:pPr>
              <w:pStyle w:val="Compact"/>
              <w:jc w:val="left"/>
            </w:pPr>
            <w:r>
              <w:t xml:space="preserve">Business email update (replace Gmail)</w:t>
            </w:r>
          </w:p>
        </w:tc>
        <w:tc>
          <w:p>
            <w:pPr>
              <w:pStyle w:val="Compact"/>
              <w:jc w:val="left"/>
            </w:pPr>
            <w:r>
              <w:t xml:space="preserve">Upon activation of info@proaxissolutions.co.za</w:t>
            </w:r>
          </w:p>
        </w:tc>
      </w:tr>
      <w:tr>
        <w:tc>
          <w:p>
            <w:pPr>
              <w:pStyle w:val="Compact"/>
              <w:jc w:val="left"/>
            </w:pPr>
            <w:r>
              <w:t xml:space="preserve">Information Regulator records update</w:t>
            </w:r>
          </w:p>
        </w:tc>
        <w:tc>
          <w:p>
            <w:pPr>
              <w:pStyle w:val="Compact"/>
              <w:jc w:val="left"/>
            </w:pPr>
            <w:r>
              <w:t xml:space="preserve">Upon activation of business email</w:t>
            </w:r>
          </w:p>
        </w:tc>
      </w:tr>
    </w:tbl>
    <w:p>
      <w:r>
        <w:pict>
          <v:rect style="width:0;height:1.5pt" o:hralign="center" o:hrstd="t" o:hr="t"/>
        </w:pict>
      </w:r>
    </w:p>
    <w:p>
      <w:pPr>
        <w:pStyle w:val="Heading2"/>
      </w:pPr>
      <w:bookmarkStart w:id="43" w:name="X16c40040b5dfabdcdc4fec8266c8b32f22326f5"/>
      <w:r>
        <w:t xml:space="preserve">PART 9 — INFORMATION REGULATOR CONTACT DETAILS</w:t>
      </w:r>
      <w:bookmarkEnd w:id="43"/>
    </w:p>
    <w:p>
      <w:pPr>
        <w:pStyle w:val="FirstParagraph"/>
      </w:pPr>
      <w:r>
        <w:t xml:space="preserve">The Information Regulator of South Africa may be contacted at:</w:t>
      </w:r>
    </w:p>
    <w:p>
      <w:pPr>
        <w:pStyle w:val="BodyText"/>
      </w:pPr>
      <w:r>
        <w:t xml:space="preserve">[VERIFY: current Information Regulator contact details — www.inforegulator.org.za]</w:t>
      </w:r>
    </w:p>
    <w:p>
      <w:pPr>
        <w:pStyle w:val="BodyText"/>
      </w:pPr>
      <w:r>
        <w:t xml:space="preserve">Matters related to the PAIA Annual Report and Section 51 manual submissions should be directed to the Information Regulator.</w:t>
      </w:r>
    </w:p>
    <w:p>
      <w:r>
        <w:pict>
          <v:rect style="width:0;height:1.5pt" o:hralign="center" o:hrstd="t" o:hr="t"/>
        </w:pict>
      </w:r>
    </w:p>
    <w:p>
      <w:pPr>
        <w:pStyle w:val="Heading2"/>
      </w:pPr>
      <w:bookmarkStart w:id="44" w:name="declaration"/>
      <w:r>
        <w:t xml:space="preserve">DECLARATION</w:t>
      </w:r>
      <w:bookmarkEnd w:id="44"/>
    </w:p>
    <w:p>
      <w:pPr>
        <w:pStyle w:val="FirstParagraph"/>
      </w:pPr>
      <w:r>
        <w:t xml:space="preserve">This PAIA Section 51 Manual is adopted by Proaxis Solutions (Pty) Ltd as the company’s official PAIA manual.</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t xml:space="preserve">Director</w:t>
            </w:r>
          </w:p>
        </w:tc>
        <w:tc>
          <w:p>
            <w:pPr>
              <w:pStyle w:val="Compact"/>
              <w:jc w:val="left"/>
            </w:pPr>
            <w:r>
              <w:t xml:space="preserve">Bongumusa Mthembu [VERIFY: confirm full legal name against CIPC records]</w:t>
            </w:r>
          </w:p>
        </w:tc>
      </w:tr>
      <w:tr>
        <w:tc>
          <w:p>
            <w:pPr>
              <w:pStyle w:val="Compact"/>
              <w:jc w:val="left"/>
            </w:pPr>
            <w:r>
              <w:t xml:space="preserve">Registration Number</w:t>
            </w:r>
          </w:p>
        </w:tc>
        <w:tc>
          <w:p>
            <w:pPr>
              <w:pStyle w:val="Compact"/>
              <w:jc w:val="left"/>
            </w:pPr>
            <w:r>
              <w:t xml:space="preserve">2025/542019/07</w:t>
            </w:r>
          </w:p>
        </w:tc>
      </w:tr>
      <w:tr>
        <w:tc>
          <w:p>
            <w:pPr>
              <w:pStyle w:val="Compact"/>
              <w:jc w:val="left"/>
            </w:pPr>
            <w:r>
              <w:t xml:space="preserve">Information Officer</w:t>
            </w:r>
          </w:p>
        </w:tc>
        <w:tc>
          <w:p>
            <w:pPr>
              <w:pStyle w:val="Compact"/>
              <w:jc w:val="left"/>
            </w:pPr>
            <w:r>
              <w:t xml:space="preserve">Andile Khoza</w:t>
            </w:r>
          </w:p>
        </w:tc>
      </w:tr>
      <w:tr>
        <w:tc>
          <w:p>
            <w:pPr>
              <w:pStyle w:val="Compact"/>
              <w:jc w:val="left"/>
            </w:pPr>
            <w:r>
              <w:t xml:space="preserve">IO Reference</w:t>
            </w:r>
          </w:p>
        </w:tc>
        <w:tc>
          <w:p>
            <w:pPr>
              <w:pStyle w:val="Compact"/>
              <w:jc w:val="left"/>
            </w:pPr>
            <w:r>
              <w:t xml:space="preserve">2025-058837</w:t>
            </w:r>
          </w:p>
        </w:tc>
      </w:tr>
      <w:tr>
        <w:tc>
          <w:p>
            <w:pPr>
              <w:pStyle w:val="Compact"/>
              <w:jc w:val="left"/>
            </w:pPr>
            <w:r>
              <w:t xml:space="preserve">Date Adopted</w:t>
            </w:r>
          </w:p>
        </w:tc>
        <w:tc>
          <w:p>
            <w:pPr>
              <w:pStyle w:val="Compact"/>
              <w:jc w:val="left"/>
            </w:pPr>
            <w:r>
              <w:t xml:space="preserve">June 2026</w:t>
            </w:r>
          </w:p>
        </w:tc>
      </w:tr>
      <w:tr>
        <w:tc>
          <w:p>
            <w:pPr>
              <w:pStyle w:val="Compact"/>
              <w:jc w:val="left"/>
            </w:pPr>
            <w:r>
              <w:t xml:space="preserve">Signature (Director)</w:t>
            </w:r>
          </w:p>
        </w:tc>
        <w:tc>
          <w:p>
            <w:pPr>
              <w:pStyle w:val="Compact"/>
              <w:jc w:val="left"/>
            </w:pPr>
            <w:r>
              <w:t xml:space="preserve">_________________________</w:t>
            </w:r>
          </w:p>
        </w:tc>
      </w:tr>
      <w:tr>
        <w:tc>
          <w:p>
            <w:pPr>
              <w:pStyle w:val="Compact"/>
              <w:jc w:val="left"/>
            </w:pPr>
            <w:r>
              <w:t xml:space="preserve">Date</w:t>
            </w:r>
          </w:p>
        </w:tc>
        <w:tc>
          <w:p>
            <w:pPr>
              <w:pStyle w:val="Compact"/>
              <w:jc w:val="left"/>
            </w:pPr>
            <w:r>
              <w:t xml:space="preserve">_________________________</w:t>
            </w:r>
          </w:p>
        </w:tc>
      </w:tr>
    </w:tbl>
    <w:p>
      <w:r>
        <w:pict>
          <v:rect style="width:0;height:1.5pt" o:hralign="center" o:hrstd="t" o:hr="t"/>
        </w:pict>
      </w:r>
    </w:p>
    <w:p>
      <w:r>
        <w:pict>
          <v:rect style="width:0;height:1.5pt" o:hralign="center" o:hrstd="t" o:hr="t"/>
        </w:pict>
      </w:r>
    </w:p>
    <w:p>
      <w:pPr>
        <w:pStyle w:val="FirstParagraph"/>
      </w:pPr>
      <w:r>
        <w:rPr>
          <w:i/>
        </w:rPr>
        <w:t xml:space="preserve">Proaxis Solutions (Pty) Ltd | Reg: 2025/542019/07 | IO Reference: 2025-058837</w:t>
      </w:r>
      <w:r>
        <w:br/>
      </w:r>
      <w:r>
        <w:rPr>
          <w:i/>
        </w:rPr>
        <w:t xml:space="preserve">www.proaxissolutions.co.za | Technology. Intelligence. Transformation.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2026-06-06T13:39:34Z</dcterms:created>
  <dcterms:modified xsi:type="dcterms:W3CDTF">2026-06-06T13:39:34Z</dcterms:modified>
</cp:coreProperties>
</file>

<file path=docProps/custom.xml><?xml version="1.0" encoding="utf-8"?>
<Properties xmlns="http://schemas.openxmlformats.org/officeDocument/2006/custom-properties" xmlns:vt="http://schemas.openxmlformats.org/officeDocument/2006/docPropsVTypes"/>
</file>