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aia-annual-report-20252026"/>
      <w:r>
        <w:t xml:space="preserve">PAIA ANNUAL REPORT 2025/2026</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Document Type:</w:t>
      </w:r>
      <w:r>
        <w:t xml:space="preserve"> </w:t>
      </w:r>
      <w:r>
        <w:t xml:space="preserve">Annual Report — Promotion of Access to Information Act 2 of 2000 (PAIA)</w:t>
      </w:r>
      <w:r>
        <w:br/>
      </w:r>
      <w:r>
        <w:rPr>
          <w:b/>
        </w:rPr>
        <w:t xml:space="preserve">Statutory Authority:</w:t>
      </w:r>
      <w:r>
        <w:t xml:space="preserve"> </w:t>
      </w:r>
      <w:r>
        <w:t xml:space="preserve">Section 83(4) of PAIA</w:t>
      </w:r>
      <w:r>
        <w:br/>
      </w:r>
      <w:r>
        <w:rPr>
          <w:b/>
        </w:rPr>
        <w:t xml:space="preserve">Reporting Period:</w:t>
      </w:r>
      <w:r>
        <w:t xml:space="preserve"> </w:t>
      </w:r>
      <w:r>
        <w:t xml:space="preserve">1 April 2025 – 31 March 2026</w:t>
      </w:r>
      <w:r>
        <w:br/>
      </w:r>
      <w:r>
        <w:rPr>
          <w:b/>
        </w:rPr>
        <w:t xml:space="preserve">Financial Year End:</w:t>
      </w:r>
      <w:r>
        <w:t xml:space="preserve"> </w:t>
      </w:r>
      <w:r>
        <w:t xml:space="preserve">31 March</w:t>
      </w:r>
      <w:r>
        <w:br/>
      </w:r>
      <w:r>
        <w:rPr>
          <w:b/>
        </w:rPr>
        <w:t xml:space="preserve">Submission Deadline:</w:t>
      </w:r>
      <w:r>
        <w:t xml:space="preserve"> </w:t>
      </w:r>
      <w:r>
        <w:t xml:space="preserve">30 June 2026</w:t>
      </w:r>
      <w:r>
        <w:br/>
      </w:r>
      <w:r>
        <w:rPr>
          <w:b/>
        </w:rPr>
        <w:t xml:space="preserve">Portal:</w:t>
      </w:r>
      <w:r>
        <w:t xml:space="preserve"> </w:t>
      </w:r>
      <w:r>
        <w:t xml:space="preserve">https://eservices.inforegulator.org.za</w:t>
      </w:r>
      <w:r>
        <w:br/>
      </w:r>
      <w:r>
        <w:rPr>
          <w:b/>
        </w:rPr>
        <w:t xml:space="preserve">Report Type:</w:t>
      </w:r>
      <w:r>
        <w:t xml:space="preserve"> </w:t>
      </w:r>
      <w:r>
        <w:t xml:space="preserve">NIL RETURN — Private Body</w:t>
      </w:r>
    </w:p>
    <w:p>
      <w:r>
        <w:pict>
          <v:rect style="width:0;height:1.5pt" o:hralign="center" o:hrstd="t" o:hr="t"/>
        </w:pict>
      </w:r>
    </w:p>
    <w:p>
      <w:pPr>
        <w:pStyle w:val="Heading2"/>
      </w:pPr>
      <w:bookmarkStart w:id="22" w:name="part-a-company-details"/>
      <w:r>
        <w:t xml:space="preserve">PART A — COMPANY DETAILS</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Legal Name</w:t>
            </w:r>
          </w:p>
        </w:tc>
        <w:tc>
          <w:p>
            <w:pPr>
              <w:pStyle w:val="Compact"/>
              <w:jc w:val="left"/>
            </w:pPr>
            <w:r>
              <w:t xml:space="preserve">Proaxis Solutions (Pty) Ltd</w:t>
            </w:r>
          </w:p>
        </w:tc>
      </w:tr>
      <w:tr>
        <w:tc>
          <w:p>
            <w:pPr>
              <w:pStyle w:val="Compact"/>
              <w:jc w:val="left"/>
            </w:pPr>
            <w:r>
              <w:rPr>
                <w:b/>
              </w:rPr>
              <w:t xml:space="preserve">Registration Number</w:t>
            </w:r>
          </w:p>
        </w:tc>
        <w:tc>
          <w:p>
            <w:pPr>
              <w:pStyle w:val="Compact"/>
              <w:jc w:val="left"/>
            </w:pPr>
            <w:r>
              <w:t xml:space="preserve">2025/542019/07</w:t>
            </w:r>
          </w:p>
        </w:tc>
      </w:tr>
      <w:tr>
        <w:tc>
          <w:p>
            <w:pPr>
              <w:pStyle w:val="Compact"/>
              <w:jc w:val="left"/>
            </w:pPr>
            <w:r>
              <w:rPr>
                <w:b/>
              </w:rPr>
              <w:t xml:space="preserve">Type of Body</w:t>
            </w:r>
          </w:p>
        </w:tc>
        <w:tc>
          <w:p>
            <w:pPr>
              <w:pStyle w:val="Compact"/>
              <w:jc w:val="left"/>
            </w:pPr>
            <w:r>
              <w:t xml:space="preserve">Private Body</w:t>
            </w:r>
          </w:p>
        </w:tc>
      </w:tr>
      <w:tr>
        <w:tc>
          <w:p>
            <w:pPr>
              <w:pStyle w:val="Compact"/>
              <w:jc w:val="left"/>
            </w:pPr>
            <w:r>
              <w:rPr>
                <w:b/>
              </w:rPr>
              <w:t xml:space="preserve">Physical Address</w:t>
            </w:r>
          </w:p>
        </w:tc>
        <w:tc>
          <w:p>
            <w:pPr>
              <w:pStyle w:val="Compact"/>
              <w:jc w:val="left"/>
            </w:pPr>
            <w:r>
              <w:t xml:space="preserve">1 Shantally Close, Milarina Gardens, Durban, KwaZulu-Natal</w:t>
            </w:r>
          </w:p>
        </w:tc>
      </w:tr>
      <w:tr>
        <w:tc>
          <w:p>
            <w:pPr>
              <w:pStyle w:val="Compact"/>
              <w:jc w:val="left"/>
            </w:pPr>
            <w:r>
              <w:rPr>
                <w:b/>
              </w:rPr>
              <w:t xml:space="preserve">Postal Address</w:t>
            </w:r>
          </w:p>
        </w:tc>
        <w:tc>
          <w:p>
            <w:pPr>
              <w:pStyle w:val="Compact"/>
              <w:jc w:val="left"/>
            </w:pPr>
            <w:r>
              <w:t xml:space="preserve">1 Shantally Close, Milarina Gardens, Durban, KwaZulu-Natal</w:t>
            </w:r>
          </w:p>
        </w:tc>
      </w:tr>
      <w:tr>
        <w:tc>
          <w:p>
            <w:pPr>
              <w:pStyle w:val="Compact"/>
              <w:jc w:val="left"/>
            </w:pPr>
            <w:r>
              <w:rPr>
                <w:b/>
              </w:rPr>
              <w:t xml:space="preserve">Website</w:t>
            </w:r>
          </w:p>
        </w:tc>
        <w:tc>
          <w:p>
            <w:pPr>
              <w:pStyle w:val="Compact"/>
              <w:jc w:val="left"/>
            </w:pPr>
            <w:r>
              <w:t xml:space="preserve">www.proaxissolutions.co.za</w:t>
            </w:r>
          </w:p>
        </w:tc>
      </w:tr>
      <w:tr>
        <w:tc>
          <w:p>
            <w:pPr>
              <w:pStyle w:val="Compact"/>
              <w:jc w:val="left"/>
            </w:pPr>
            <w:r>
              <w:rPr>
                <w:b/>
              </w:rPr>
              <w:t xml:space="preserve">Contact Email</w:t>
            </w:r>
          </w:p>
        </w:tc>
        <w:tc>
          <w:p>
            <w:pPr>
              <w:pStyle w:val="Compact"/>
              <w:jc w:val="left"/>
            </w:pPr>
            <w:r>
              <w:t xml:space="preserve">info@proaxissolutions.co.za</w:t>
            </w:r>
          </w:p>
        </w:tc>
      </w:tr>
      <w:tr>
        <w:tc>
          <w:p>
            <w:pPr>
              <w:pStyle w:val="Compact"/>
              <w:jc w:val="left"/>
            </w:pPr>
            <w:r>
              <w:rPr>
                <w:b/>
              </w:rPr>
              <w:t xml:space="preserve">Contact Telephone</w:t>
            </w:r>
          </w:p>
        </w:tc>
        <w:tc>
          <w:p>
            <w:pPr>
              <w:pStyle w:val="Compact"/>
              <w:jc w:val="left"/>
            </w:pPr>
            <w:r>
              <w:t xml:space="preserve">066 213 6607</w:t>
            </w:r>
          </w:p>
        </w:tc>
      </w:tr>
    </w:tbl>
    <w:p>
      <w:r>
        <w:pict>
          <v:rect style="width:0;height:1.5pt" o:hralign="center" o:hrstd="t" o:hr="t"/>
        </w:pict>
      </w:r>
    </w:p>
    <w:p>
      <w:pPr>
        <w:pStyle w:val="Heading2"/>
      </w:pPr>
      <w:bookmarkStart w:id="23" w:name="part-b-information-officer-details"/>
      <w:r>
        <w:t xml:space="preserve">PART B — INFORMATION OFFICER DETAILS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Information Officer (IO)</w:t>
            </w:r>
          </w:p>
        </w:tc>
        <w:tc>
          <w:p>
            <w:pPr>
              <w:pStyle w:val="Compact"/>
              <w:jc w:val="left"/>
            </w:pPr>
            <w:r>
              <w:t xml:space="preserve">Andile Khoza</w:t>
            </w:r>
          </w:p>
        </w:tc>
      </w:tr>
      <w:tr>
        <w:tc>
          <w:p>
            <w:pPr>
              <w:pStyle w:val="Compact"/>
              <w:jc w:val="left"/>
            </w:pPr>
            <w:r>
              <w:rPr>
                <w:b/>
              </w:rPr>
              <w:t xml:space="preserve">IO Registration Reference</w:t>
            </w:r>
          </w:p>
        </w:tc>
        <w:tc>
          <w:p>
            <w:pPr>
              <w:pStyle w:val="Compact"/>
              <w:jc w:val="left"/>
            </w:pPr>
            <w:r>
              <w:t xml:space="preserve">2025-058837</w:t>
            </w:r>
          </w:p>
        </w:tc>
      </w:tr>
      <w:tr>
        <w:tc>
          <w:p>
            <w:pPr>
              <w:pStyle w:val="Compact"/>
              <w:jc w:val="left"/>
            </w:pPr>
            <w:r>
              <w:rPr>
                <w:b/>
              </w:rPr>
              <w:t xml:space="preserve">Registered With</w:t>
            </w:r>
          </w:p>
        </w:tc>
        <w:tc>
          <w:p>
            <w:pPr>
              <w:pStyle w:val="Compact"/>
              <w:jc w:val="left"/>
            </w:pPr>
            <w:r>
              <w:t xml:space="preserve">Information Regulator (South Africa)</w:t>
            </w:r>
          </w:p>
        </w:tc>
      </w:tr>
      <w:tr>
        <w:tc>
          <w:p>
            <w:pPr>
              <w:pStyle w:val="Compact"/>
              <w:jc w:val="left"/>
            </w:pPr>
            <w:r>
              <w:rPr>
                <w:b/>
              </w:rPr>
              <w:t xml:space="preserve">IO Contact Email</w:t>
            </w:r>
          </w:p>
        </w:tc>
        <w:tc>
          <w:p>
            <w:pPr>
              <w:pStyle w:val="Compact"/>
              <w:jc w:val="left"/>
            </w:pPr>
            <w:r>
              <w:t xml:space="preserve">privacy@proaxissolutions.co.za</w:t>
            </w:r>
          </w:p>
        </w:tc>
      </w:tr>
      <w:tr>
        <w:tc>
          <w:p>
            <w:pPr>
              <w:pStyle w:val="Compact"/>
              <w:jc w:val="left"/>
            </w:pPr>
            <w:r>
              <w:rPr>
                <w:b/>
              </w:rPr>
              <w:t xml:space="preserve">Director / Head of Body</w:t>
            </w:r>
          </w:p>
        </w:tc>
        <w:tc>
          <w:p>
            <w:pPr>
              <w:pStyle w:val="Compact"/>
              <w:jc w:val="left"/>
            </w:pPr>
            <w:r>
              <w:t xml:space="preserve">Bongumusa Mthembu</w:t>
            </w:r>
          </w:p>
        </w:tc>
      </w:tr>
      <w:tr>
        <w:tc>
          <w:p>
            <w:pPr>
              <w:pStyle w:val="Compact"/>
              <w:jc w:val="left"/>
            </w:pPr>
            <w:r>
              <w:rPr>
                <w:b/>
              </w:rPr>
              <w:t xml:space="preserve">Director Role</w:t>
            </w:r>
          </w:p>
        </w:tc>
        <w:tc>
          <w:p>
            <w:pPr>
              <w:pStyle w:val="Compact"/>
              <w:jc w:val="left"/>
            </w:pPr>
            <w:r>
              <w:t xml:space="preserve">Director</w:t>
            </w:r>
          </w:p>
        </w:tc>
      </w:tr>
    </w:tbl>
    <w:p>
      <w:r>
        <w:pict>
          <v:rect style="width:0;height:1.5pt" o:hralign="center" o:hrstd="t" o:hr="t"/>
        </w:pict>
      </w:r>
    </w:p>
    <w:p>
      <w:pPr>
        <w:pStyle w:val="Heading2"/>
      </w:pPr>
      <w:bookmarkStart w:id="24" w:name="part-c-paia-annual-report-questionnaire"/>
      <w:r>
        <w:t xml:space="preserve">PART C — PAIA ANNUAL REPORT QUESTIONNAIRE</w:t>
      </w:r>
      <w:bookmarkEnd w:id="24"/>
    </w:p>
    <w:p>
      <w:pPr>
        <w:pStyle w:val="Heading3"/>
      </w:pPr>
      <w:bookmarkStart w:id="25" w:name="statement-of-context"/>
      <w:r>
        <w:t xml:space="preserve">Statement of Context</w:t>
      </w:r>
      <w:bookmarkEnd w:id="25"/>
    </w:p>
    <w:p>
      <w:pPr>
        <w:pStyle w:val="FirstParagraph"/>
      </w:pPr>
      <w:r>
        <w:t xml:space="preserve">Proaxis Solutions (Pty) Ltd was incorporated on</w:t>
      </w:r>
      <w:r>
        <w:t xml:space="preserve"> </w:t>
      </w:r>
      <w:r>
        <w:rPr>
          <w:b/>
        </w:rPr>
        <w:t xml:space="preserve">[VERIFY: exact incorporation date from CIPC]</w:t>
      </w:r>
      <w:r>
        <w:t xml:space="preserve"> </w:t>
      </w:r>
      <w:r>
        <w:t xml:space="preserve">in 2025. The company is a small technology and AI automation firm and is in its startup phase. During the reporting period from</w:t>
      </w:r>
      <w:r>
        <w:t xml:space="preserve"> </w:t>
      </w:r>
      <w:r>
        <w:rPr>
          <w:b/>
        </w:rPr>
        <w:t xml:space="preserve">1 April 2025 to 31 March 2026</w:t>
      </w:r>
      <w:r>
        <w:t xml:space="preserve">, no PAIA requests for access to information were received. This Annual Report constitutes a</w:t>
      </w:r>
      <w:r>
        <w:t xml:space="preserve"> </w:t>
      </w:r>
      <w:r>
        <w:rPr>
          <w:b/>
        </w:rPr>
        <w:t xml:space="preserve">Nil Return</w:t>
      </w:r>
      <w:r>
        <w:t xml:space="preserve"> </w:t>
      </w:r>
      <w:r>
        <w:t xml:space="preserve">as permitted for private bodies that received no PAIA requests during the reporting period.</w:t>
      </w:r>
    </w:p>
    <w:p>
      <w:pPr>
        <w:pStyle w:val="BodyText"/>
      </w:pPr>
      <w:r>
        <w:t xml:space="preserve">The company’s PAIA Manual (Section 51 Manual) was prepared in June 2026. The absence of a formally published PAIA Manual during part of the reporting period is noted and has been remediated — the manual is being published to the company’s website in accordance with Section 51 of PAIA.</w:t>
      </w:r>
    </w:p>
    <w:p>
      <w:r>
        <w:pict>
          <v:rect style="width:0;height:1.5pt" o:hralign="center" o:hrstd="t" o:hr="t"/>
        </w:pict>
      </w:r>
    </w:p>
    <w:p>
      <w:pPr>
        <w:pStyle w:val="Heading3"/>
      </w:pPr>
      <w:bookmarkStart w:id="26" w:name="Xbe824cc9f02c70dee7e2807698a494c9b871735"/>
      <w:r>
        <w:t xml:space="preserve">ANSWERS TO THE 9 QUESTIONS — PRIVATE BODY FORM</w:t>
      </w:r>
      <w:bookmarkEnd w:id="26"/>
    </w:p>
    <w:p>
      <w:pPr>
        <w:pStyle w:val="FirstParagraph"/>
      </w:pPr>
      <w:r>
        <w:t xml:space="preserve">All figures below reflect the period 1 April 2025 – 31 March 2026.</w:t>
      </w:r>
    </w:p>
    <w:p>
      <w:r>
        <w:pict>
          <v:rect style="width:0;height:1.5pt" o:hralign="center" o:hrstd="t" o:hr="t"/>
        </w:pict>
      </w:r>
    </w:p>
    <w:p>
      <w:pPr>
        <w:pStyle w:val="FirstParagraph"/>
      </w:pPr>
      <w:r>
        <w:rPr>
          <w:b/>
        </w:rPr>
        <w:t xml:space="preserve">Question 1:</w:t>
      </w:r>
      <w:r>
        <w:t xml:space="preserve"> </w:t>
      </w:r>
      <w:r>
        <w:t xml:space="preserve">The number of requests for access received</w:t>
      </w:r>
    </w:p>
    <w:p>
      <w:pPr>
        <w:pStyle w:val="BodyText"/>
      </w:pPr>
      <w:r>
        <w:rPr>
          <w:b/>
        </w:rPr>
        <w:t xml:space="preserve">Answer: 0</w:t>
      </w:r>
    </w:p>
    <w:p>
      <w:pPr>
        <w:pStyle w:val="BodyText"/>
      </w:pPr>
      <w:r>
        <w:rPr>
          <w:i/>
        </w:rPr>
        <w:t xml:space="preserve">Contextual note: Proaxis Solutions (Pty) Ltd received zero (0) requests for access to information under PAIA during the reporting period. The company is a startup technology company incorporated in 2025 and has not yet received any PAIA access requests.</w:t>
      </w:r>
    </w:p>
    <w:p>
      <w:r>
        <w:pict>
          <v:rect style="width:0;height:1.5pt" o:hralign="center" o:hrstd="t" o:hr="t"/>
        </w:pict>
      </w:r>
    </w:p>
    <w:p>
      <w:pPr>
        <w:pStyle w:val="FirstParagraph"/>
      </w:pPr>
      <w:r>
        <w:rPr>
          <w:b/>
        </w:rPr>
        <w:t xml:space="preserve">Question 2:</w:t>
      </w:r>
      <w:r>
        <w:t xml:space="preserve"> </w:t>
      </w:r>
      <w:r>
        <w:t xml:space="preserve">The number of requests for access granted in full</w:t>
      </w:r>
    </w:p>
    <w:p>
      <w:pPr>
        <w:pStyle w:val="BodyText"/>
      </w:pPr>
      <w:r>
        <w:rPr>
          <w:b/>
        </w:rPr>
        <w:t xml:space="preserve">Answer: 0</w:t>
      </w:r>
    </w:p>
    <w:p>
      <w:pPr>
        <w:pStyle w:val="BodyText"/>
      </w:pPr>
      <w:r>
        <w:rPr>
          <w:i/>
        </w:rPr>
        <w:t xml:space="preserve">Contextual note: No requests were received, therefore no requests could be granted in full. Result is zero (0).</w:t>
      </w:r>
    </w:p>
    <w:p>
      <w:r>
        <w:pict>
          <v:rect style="width:0;height:1.5pt" o:hralign="center" o:hrstd="t" o:hr="t"/>
        </w:pict>
      </w:r>
    </w:p>
    <w:p>
      <w:pPr>
        <w:pStyle w:val="FirstParagraph"/>
      </w:pPr>
      <w:r>
        <w:rPr>
          <w:b/>
        </w:rPr>
        <w:t xml:space="preserve">Question 3:</w:t>
      </w:r>
      <w:r>
        <w:t xml:space="preserve"> </w:t>
      </w:r>
      <w:r>
        <w:t xml:space="preserve">The number of requests for access granted in terms of section 70</w:t>
      </w:r>
    </w:p>
    <w:p>
      <w:pPr>
        <w:pStyle w:val="BodyText"/>
      </w:pPr>
      <w:r>
        <w:rPr>
          <w:b/>
        </w:rPr>
        <w:t xml:space="preserve">Answer: 0</w:t>
      </w:r>
    </w:p>
    <w:p>
      <w:pPr>
        <w:pStyle w:val="BodyText"/>
      </w:pPr>
      <w:r>
        <w:rPr>
          <w:i/>
        </w:rPr>
        <w:t xml:space="preserve">Contextual note: Section 70 of PAIA relates to access granted to third parties to information about requesters. No such requests were received or granted during the reporting period. Result is zero (0).</w:t>
      </w:r>
    </w:p>
    <w:p>
      <w:r>
        <w:pict>
          <v:rect style="width:0;height:1.5pt" o:hralign="center" o:hrstd="t" o:hr="t"/>
        </w:pict>
      </w:r>
    </w:p>
    <w:p>
      <w:pPr>
        <w:pStyle w:val="FirstParagraph"/>
      </w:pPr>
      <w:r>
        <w:rPr>
          <w:b/>
        </w:rPr>
        <w:t xml:space="preserve">Question 4:</w:t>
      </w:r>
      <w:r>
        <w:t xml:space="preserve"> </w:t>
      </w:r>
      <w:r>
        <w:t xml:space="preserve">The number of requests for access refused in full and refused partially</w:t>
      </w:r>
    </w:p>
    <w:p>
      <w:pPr>
        <w:pStyle w:val="BodyText"/>
      </w:pPr>
      <w:r>
        <w:rPr>
          <w:b/>
        </w:rPr>
        <w:t xml:space="preserve">Answer: 0</w:t>
      </w:r>
    </w:p>
    <w:p>
      <w:pPr>
        <w:pStyle w:val="BodyText"/>
      </w:pPr>
      <w:r>
        <w:rPr>
          <w:i/>
        </w:rPr>
        <w:t xml:space="preserve">Contextual note: No requests for access were received. Therefore, no requests were refused in full or in part. Result is zero (0).</w:t>
      </w:r>
    </w:p>
    <w:p>
      <w:r>
        <w:pict>
          <v:rect style="width:0;height:1.5pt" o:hralign="center" o:hrstd="t" o:hr="t"/>
        </w:pict>
      </w:r>
    </w:p>
    <w:p>
      <w:pPr>
        <w:pStyle w:val="FirstParagraph"/>
      </w:pPr>
      <w:r>
        <w:rPr>
          <w:b/>
        </w:rPr>
        <w:t xml:space="preserve">Question 5:</w:t>
      </w:r>
      <w:r>
        <w:t xml:space="preserve"> </w:t>
      </w:r>
      <w:r>
        <w:t xml:space="preserve">The number of cases in which periods in section 56(1) were extended in terms of section 57(1)</w:t>
      </w:r>
    </w:p>
    <w:p>
      <w:pPr>
        <w:pStyle w:val="BodyText"/>
      </w:pPr>
      <w:r>
        <w:rPr>
          <w:b/>
        </w:rPr>
        <w:t xml:space="preserve">Answer: 0</w:t>
      </w:r>
    </w:p>
    <w:p>
      <w:pPr>
        <w:pStyle w:val="BodyText"/>
      </w:pPr>
      <w:r>
        <w:rPr>
          <w:i/>
        </w:rPr>
        <w:t xml:space="preserve">Contextual note: Section 56(1) of PAIA provides the standard 30-day response period for access requests. Section 57(1) permits an extension of this period in defined circumstances. No access requests were received, therefore no extensions were required or granted. Result is zero (0).</w:t>
      </w:r>
    </w:p>
    <w:p>
      <w:r>
        <w:pict>
          <v:rect style="width:0;height:1.5pt" o:hralign="center" o:hrstd="t" o:hr="t"/>
        </w:pict>
      </w:r>
    </w:p>
    <w:p>
      <w:pPr>
        <w:pStyle w:val="FirstParagraph"/>
      </w:pPr>
      <w:r>
        <w:rPr>
          <w:b/>
        </w:rPr>
        <w:t xml:space="preserve">Question 6:</w:t>
      </w:r>
      <w:r>
        <w:t xml:space="preserve"> </w:t>
      </w:r>
      <w:r>
        <w:t xml:space="preserve">Number of complaints lodged against the body with the Information Regulator</w:t>
      </w:r>
    </w:p>
    <w:p>
      <w:pPr>
        <w:pStyle w:val="BodyText"/>
      </w:pPr>
      <w:r>
        <w:rPr>
          <w:b/>
        </w:rPr>
        <w:t xml:space="preserve">Answer: 0</w:t>
      </w:r>
    </w:p>
    <w:p>
      <w:pPr>
        <w:pStyle w:val="BodyText"/>
      </w:pPr>
      <w:r>
        <w:rPr>
          <w:i/>
        </w:rPr>
        <w:t xml:space="preserve">Contextual note: No complaints were lodged with the Information Regulator against Proaxis Solutions (Pty) Ltd during the reporting period. Result is zero (0).</w:t>
      </w:r>
    </w:p>
    <w:p>
      <w:r>
        <w:pict>
          <v:rect style="width:0;height:1.5pt" o:hralign="center" o:hrstd="t" o:hr="t"/>
        </w:pict>
      </w:r>
    </w:p>
    <w:p>
      <w:pPr>
        <w:pStyle w:val="FirstParagraph"/>
      </w:pPr>
      <w:r>
        <w:rPr>
          <w:b/>
        </w:rPr>
        <w:t xml:space="preserve">Question 7:</w:t>
      </w:r>
      <w:r>
        <w:t xml:space="preserve"> </w:t>
      </w:r>
      <w:r>
        <w:t xml:space="preserve">Number of decisions of the Information Regulator reviewed against</w:t>
      </w:r>
    </w:p>
    <w:p>
      <w:pPr>
        <w:pStyle w:val="BodyText"/>
      </w:pPr>
      <w:r>
        <w:rPr>
          <w:b/>
        </w:rPr>
        <w:t xml:space="preserve">Answer: 0</w:t>
      </w:r>
    </w:p>
    <w:p>
      <w:pPr>
        <w:pStyle w:val="BodyText"/>
      </w:pPr>
      <w:r>
        <w:rPr>
          <w:i/>
        </w:rPr>
        <w:t xml:space="preserve">Contextual note: No decisions of the Information Regulator were made against Proaxis Solutions (Pty) Ltd during the reporting period. Therefore, no reviews were lodged. Result is zero (0).</w:t>
      </w:r>
    </w:p>
    <w:p>
      <w:r>
        <w:pict>
          <v:rect style="width:0;height:1.5pt" o:hralign="center" o:hrstd="t" o:hr="t"/>
        </w:pict>
      </w:r>
    </w:p>
    <w:p>
      <w:pPr>
        <w:pStyle w:val="FirstParagraph"/>
      </w:pPr>
      <w:r>
        <w:rPr>
          <w:b/>
        </w:rPr>
        <w:t xml:space="preserve">Question 8:</w:t>
      </w:r>
      <w:r>
        <w:t xml:space="preserve"> </w:t>
      </w:r>
      <w:r>
        <w:t xml:space="preserve">The number of applications made to every court</w:t>
      </w:r>
    </w:p>
    <w:p>
      <w:pPr>
        <w:pStyle w:val="BodyText"/>
      </w:pPr>
      <w:r>
        <w:rPr>
          <w:b/>
        </w:rPr>
        <w:t xml:space="preserve">Answer: 0</w:t>
      </w:r>
    </w:p>
    <w:p>
      <w:pPr>
        <w:pStyle w:val="BodyText"/>
      </w:pPr>
      <w:r>
        <w:rPr>
          <w:i/>
        </w:rPr>
        <w:t xml:space="preserve">Contextual note: Proaxis Solutions (Pty) Ltd made no court applications in relation to PAIA matters during the reporting period. Result is zero (0).</w:t>
      </w:r>
    </w:p>
    <w:p>
      <w:r>
        <w:pict>
          <v:rect style="width:0;height:1.5pt" o:hralign="center" o:hrstd="t" o:hr="t"/>
        </w:pict>
      </w:r>
    </w:p>
    <w:p>
      <w:pPr>
        <w:pStyle w:val="FirstParagraph"/>
      </w:pPr>
      <w:r>
        <w:rPr>
          <w:b/>
        </w:rPr>
        <w:t xml:space="preserve">Question 9:</w:t>
      </w:r>
      <w:r>
        <w:t xml:space="preserve"> </w:t>
      </w:r>
      <w:r>
        <w:t xml:space="preserve">The number of decisions of every court appealed against and the outcome thereof</w:t>
      </w:r>
    </w:p>
    <w:p>
      <w:pPr>
        <w:pStyle w:val="BodyText"/>
      </w:pPr>
      <w:r>
        <w:rPr>
          <w:b/>
        </w:rPr>
        <w:t xml:space="preserve">Answer: 0</w:t>
      </w:r>
    </w:p>
    <w:p>
      <w:pPr>
        <w:pStyle w:val="BodyText"/>
      </w:pPr>
      <w:r>
        <w:rPr>
          <w:i/>
        </w:rPr>
        <w:t xml:space="preserve">Contextual note: No court decisions were made against Proaxis Solutions (Pty) Ltd in relation to PAIA matters during the reporting period, and therefore no appeals were filed. Result is zero (0).</w:t>
      </w:r>
    </w:p>
    <w:p>
      <w:r>
        <w:pict>
          <v:rect style="width:0;height:1.5pt" o:hralign="center" o:hrstd="t" o:hr="t"/>
        </w:pict>
      </w:r>
    </w:p>
    <w:p>
      <w:pPr>
        <w:pStyle w:val="Heading3"/>
      </w:pPr>
      <w:bookmarkStart w:id="27" w:name="additional-comments-online-form"/>
      <w:r>
        <w:t xml:space="preserve">ADDITIONAL COMMENTS (Online Form)</w:t>
      </w:r>
      <w:bookmarkEnd w:id="27"/>
    </w:p>
    <w:p>
      <w:pPr>
        <w:pStyle w:val="FirstParagraph"/>
      </w:pPr>
      <w:r>
        <w:t xml:space="preserve">The following comment was submitted on the online portal’s</w:t>
      </w:r>
      <w:r>
        <w:t xml:space="preserve"> </w:t>
      </w:r>
      <w:r>
        <w:t xml:space="preserve">“</w:t>
      </w:r>
      <w:r>
        <w:t xml:space="preserve">Additional Comments</w:t>
      </w:r>
      <w:r>
        <w:t xml:space="preserve">”</w:t>
      </w:r>
      <w:r>
        <w:t xml:space="preserve"> </w:t>
      </w:r>
      <w:r>
        <w:t xml:space="preserve">field:</w:t>
      </w:r>
    </w:p>
    <w:p>
      <w:pPr>
        <w:pStyle w:val="BlockText"/>
      </w:pPr>
      <w:r>
        <w:t xml:space="preserve">“</w:t>
      </w:r>
      <w:r>
        <w:t xml:space="preserve">Proaxis Solutions (Pty) Ltd is a startup technology company incorporated in 2025. During the reporting period 1 April 2025 to 31 March 2026, the company received no PAIA requests for access to information. This is a nil return. The company’s Information Officer (Andile Khoza, Registration: 2025-058837) has been registered with the Information Regulator. A Section 51 PAIA Manual has been prepared and is being published to the company website in compliance with PAIA requirements.</w:t>
      </w:r>
      <w:r>
        <w:t xml:space="preserve">”</w:t>
      </w:r>
    </w:p>
    <w:p>
      <w:r>
        <w:pict>
          <v:rect style="width:0;height:1.5pt" o:hralign="center" o:hrstd="t" o:hr="t"/>
        </w:pict>
      </w:r>
    </w:p>
    <w:p>
      <w:pPr>
        <w:pStyle w:val="Heading2"/>
      </w:pPr>
      <w:bookmarkStart w:id="28" w:name="part-d-submission-record"/>
      <w:r>
        <w:t xml:space="preserve">PART D — SUBMISSION RECORD</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Submission Portal</w:t>
            </w:r>
          </w:p>
        </w:tc>
        <w:tc>
          <w:p>
            <w:pPr>
              <w:pStyle w:val="Compact"/>
              <w:jc w:val="left"/>
            </w:pPr>
            <w:r>
              <w:t xml:space="preserve">https://eservices.inforegulator.org.za</w:t>
            </w:r>
          </w:p>
        </w:tc>
      </w:tr>
      <w:tr>
        <w:tc>
          <w:p>
            <w:pPr>
              <w:pStyle w:val="Compact"/>
              <w:jc w:val="left"/>
            </w:pPr>
            <w:r>
              <w:rPr>
                <w:b/>
              </w:rPr>
              <w:t xml:space="preserve">Submission Deadline</w:t>
            </w:r>
          </w:p>
        </w:tc>
        <w:tc>
          <w:p>
            <w:pPr>
              <w:pStyle w:val="Compact"/>
              <w:jc w:val="left"/>
            </w:pPr>
            <w:r>
              <w:t xml:space="preserve">30 June 2026</w:t>
            </w:r>
          </w:p>
        </w:tc>
      </w:tr>
      <w:tr>
        <w:tc>
          <w:p>
            <w:pPr>
              <w:pStyle w:val="Compact"/>
              <w:jc w:val="left"/>
            </w:pPr>
            <w:r>
              <w:rPr>
                <w:b/>
              </w:rPr>
              <w:t xml:space="preserve">Date of Online Submission</w:t>
            </w:r>
          </w:p>
        </w:tc>
        <w:tc>
          <w:p>
            <w:pPr>
              <w:pStyle w:val="Compact"/>
              <w:jc w:val="left"/>
            </w:pPr>
            <w:r>
              <w:t xml:space="preserve">[TO BE COMPLETED ON DATE OF SUBMISSION]</w:t>
            </w:r>
          </w:p>
        </w:tc>
      </w:tr>
      <w:tr>
        <w:tc>
          <w:p>
            <w:pPr>
              <w:pStyle w:val="Compact"/>
              <w:jc w:val="left"/>
            </w:pPr>
            <w:r>
              <w:rPr>
                <w:b/>
              </w:rPr>
              <w:t xml:space="preserve">Submission Reference Number</w:t>
            </w:r>
          </w:p>
        </w:tc>
        <w:tc>
          <w:p>
            <w:pPr>
              <w:pStyle w:val="Compact"/>
              <w:jc w:val="left"/>
            </w:pPr>
            <w:r>
              <w:t xml:space="preserve">[TO BE RECORDED AFTER SUBMISSION]</w:t>
            </w:r>
          </w:p>
        </w:tc>
      </w:tr>
      <w:tr>
        <w:tc>
          <w:p>
            <w:pPr>
              <w:pStyle w:val="Compact"/>
              <w:jc w:val="left"/>
            </w:pPr>
            <w:r>
              <w:rPr>
                <w:b/>
              </w:rPr>
              <w:t xml:space="preserve">Submitted By</w:t>
            </w:r>
          </w:p>
        </w:tc>
        <w:tc>
          <w:p>
            <w:pPr>
              <w:pStyle w:val="Compact"/>
              <w:jc w:val="left"/>
            </w:pPr>
            <w:r>
              <w:t xml:space="preserve">Andile Khoza (Information Officer) / Bongumusa Mthembu (Director)</w:t>
            </w:r>
          </w:p>
        </w:tc>
      </w:tr>
      <w:tr>
        <w:tc>
          <w:p>
            <w:pPr>
              <w:pStyle w:val="Compact"/>
              <w:jc w:val="left"/>
            </w:pPr>
            <w:r>
              <w:rPr>
                <w:b/>
              </w:rPr>
              <w:t xml:space="preserve">Online Submission Status</w:t>
            </w:r>
          </w:p>
        </w:tc>
        <w:tc>
          <w:p>
            <w:pPr>
              <w:pStyle w:val="Compact"/>
              <w:jc w:val="left"/>
            </w:pPr>
            <w:r>
              <w:t xml:space="preserve">[TO BE CONFIRMED AFTER SUBMISSION]</w:t>
            </w:r>
          </w:p>
        </w:tc>
      </w:tr>
    </w:tbl>
    <w:p>
      <w:r>
        <w:pict>
          <v:rect style="width:0;height:1.5pt" o:hralign="center" o:hrstd="t" o:hr="t"/>
        </w:pict>
      </w:r>
    </w:p>
    <w:p>
      <w:pPr>
        <w:pStyle w:val="Heading2"/>
      </w:pPr>
      <w:bookmarkStart w:id="29" w:name="Xa640e69005cd6e987c95c79d5ec847d9424ff8f"/>
      <w:r>
        <w:t xml:space="preserve">PART E — COMPANY-RETAINED COPY CERTIFICATION</w:t>
      </w:r>
      <w:bookmarkEnd w:id="29"/>
    </w:p>
    <w:p>
      <w:pPr>
        <w:pStyle w:val="FirstParagraph"/>
      </w:pPr>
      <w:r>
        <w:t xml:space="preserve">This document is the company-retained copy of the PAIA Annual Report 2025/2026 submitted by Proaxis Solutions (Pty) Ltd to the Information Regulator of South Africa.</w:t>
      </w:r>
    </w:p>
    <w:p>
      <w:pPr>
        <w:pStyle w:val="BodyText"/>
      </w:pPr>
      <w:r>
        <w:t xml:space="preserve">This copy has been prepared in accordance with Section 83(4) of the Promotion of Access to Information Act 2 of 2000 (PAIA).</w:t>
      </w:r>
    </w:p>
    <w:p>
      <w:pPr>
        <w:pStyle w:val="BodyText"/>
      </w:pPr>
      <w:r>
        <w:rPr>
          <w:b/>
        </w:rPr>
        <w:t xml:space="preserve">Certified by:</w:t>
      </w:r>
    </w:p>
    <w:p>
      <w:r>
        <w:pict>
          <v:rect style="width:0;height:1.5pt" o:hralign="center" o:hrstd="t" o:hr="t"/>
        </w:pict>
      </w:r>
    </w:p>
    <w:p>
      <w:pPr>
        <w:pStyle w:val="FirstParagraph"/>
      </w:pPr>
      <w:r>
        <w:rPr>
          <w:b/>
        </w:rPr>
        <w:t xml:space="preserve">Name:</w:t>
      </w:r>
      <w:r>
        <w:t xml:space="preserve"> </w:t>
      </w:r>
      <w:r>
        <w:t xml:space="preserve">Bongumusa Mthembu</w:t>
      </w:r>
      <w:r>
        <w:br/>
      </w:r>
      <w:r>
        <w:rPr>
          <w:b/>
        </w:rPr>
        <w:t xml:space="preserve">Capacity:</w:t>
      </w:r>
      <w:r>
        <w:t xml:space="preserve"> </w:t>
      </w:r>
      <w:r>
        <w:t xml:space="preserve">Director</w:t>
      </w:r>
      <w:r>
        <w:br/>
      </w:r>
      <w:r>
        <w:rPr>
          <w:b/>
        </w:rPr>
        <w:t xml:space="preserve">Company:</w:t>
      </w:r>
      <w:r>
        <w:t xml:space="preserve"> </w:t>
      </w:r>
      <w:r>
        <w:t xml:space="preserve">Proaxis Solutions (Pty) Ltd</w:t>
      </w:r>
      <w:r>
        <w:br/>
      </w:r>
      <w:r>
        <w:rPr>
          <w:b/>
        </w:rPr>
        <w:t xml:space="preserve">Registration:</w:t>
      </w:r>
      <w:r>
        <w:t xml:space="preserve"> </w:t>
      </w:r>
      <w:r>
        <w:t xml:space="preserve">2025/542019/07</w:t>
      </w:r>
      <w:r>
        <w:br/>
      </w:r>
      <w:r>
        <w:rPr>
          <w:b/>
        </w:rPr>
        <w:t xml:space="preserve">Date:</w:t>
      </w:r>
      <w:r>
        <w:t xml:space="preserve"> </w:t>
      </w:r>
      <w:r>
        <w:t xml:space="preserve">_________________________</w:t>
      </w:r>
    </w:p>
    <w:p>
      <w:r>
        <w:pict>
          <v:rect style="width:0;height:1.5pt" o:hralign="center" o:hrstd="t" o:hr="t"/>
        </w:pict>
      </w:r>
    </w:p>
    <w:p>
      <w:pPr>
        <w:pStyle w:val="FirstParagraph"/>
      </w:pPr>
      <w:r>
        <w:rPr>
          <w:b/>
        </w:rPr>
        <w:t xml:space="preserve">Name:</w:t>
      </w:r>
      <w:r>
        <w:t xml:space="preserve"> </w:t>
      </w:r>
      <w:r>
        <w:t xml:space="preserve">Andile Khoza</w:t>
      </w:r>
      <w:r>
        <w:br/>
      </w:r>
      <w:r>
        <w:rPr>
          <w:b/>
        </w:rPr>
        <w:t xml:space="preserve">Capacity:</w:t>
      </w:r>
      <w:r>
        <w:t xml:space="preserve"> </w:t>
      </w:r>
      <w:r>
        <w:t xml:space="preserve">Information Officer</w:t>
      </w:r>
      <w:r>
        <w:br/>
      </w:r>
      <w:r>
        <w:rPr>
          <w:b/>
        </w:rPr>
        <w:t xml:space="preserve">IO Registration:</w:t>
      </w:r>
      <w:r>
        <w:t xml:space="preserve"> </w:t>
      </w:r>
      <w:r>
        <w:t xml:space="preserve">2025-058837</w:t>
      </w:r>
      <w:r>
        <w:br/>
      </w:r>
      <w:r>
        <w:rPr>
          <w:b/>
        </w:rPr>
        <w:t xml:space="preserve">Date:</w:t>
      </w:r>
      <w:r>
        <w:t xml:space="preserve"> </w:t>
      </w:r>
      <w:r>
        <w:t xml:space="preserve">_________________________</w:t>
      </w:r>
    </w:p>
    <w:p>
      <w:r>
        <w:pict>
          <v:rect style="width:0;height:1.5pt" o:hralign="center" o:hrstd="t" o:hr="t"/>
        </w:pict>
      </w:r>
    </w:p>
    <w:p>
      <w:pPr>
        <w:pStyle w:val="Heading2"/>
      </w:pPr>
      <w:bookmarkStart w:id="30" w:name="X463bd287d952570a966da2de0ac6a45442be338"/>
      <w:r>
        <w:t xml:space="preserve">PART F — SUBMISSION GUIDE: STEP-BY-STEP INSTRUCTIONS</w:t>
      </w:r>
      <w:bookmarkEnd w:id="30"/>
    </w:p>
    <w:p>
      <w:pPr>
        <w:pStyle w:val="FirstParagraph"/>
      </w:pPr>
      <w:r>
        <w:t xml:space="preserve">The following steps must be followed to submit this Annual Report on the Information Regulator eServices portal:</w:t>
      </w:r>
    </w:p>
    <w:p>
      <w:pPr>
        <w:pStyle w:val="BodyText"/>
      </w:pPr>
      <w:r>
        <w:rPr>
          <w:b/>
        </w:rPr>
        <w:t xml:space="preserve">Step 1 — Navigate to the portal:</w:t>
      </w:r>
      <w:r>
        <w:t xml:space="preserve"> </w:t>
      </w:r>
      <w:r>
        <w:t xml:space="preserve">Go to https://eservices.inforegulator.org.za and log in with the registered credentials for Proaxis Solutions (Pty) Ltd.</w:t>
      </w:r>
    </w:p>
    <w:p>
      <w:pPr>
        <w:pStyle w:val="BodyText"/>
      </w:pPr>
      <w:r>
        <w:rPr>
          <w:b/>
        </w:rPr>
        <w:t xml:space="preserve">Step 2 — Access PAIA Annual Reporting:</w:t>
      </w:r>
      <w:r>
        <w:t xml:space="preserve"> </w:t>
      </w:r>
      <w:r>
        <w:t xml:space="preserve">On the portal, navigate to the</w:t>
      </w:r>
      <w:r>
        <w:t xml:space="preserve"> </w:t>
      </w:r>
      <w:r>
        <w:t xml:space="preserve">“</w:t>
      </w:r>
      <w:r>
        <w:t xml:space="preserve">PAIA Annual Reporting</w:t>
      </w:r>
      <w:r>
        <w:t xml:space="preserve">”</w:t>
      </w:r>
      <w:r>
        <w:t xml:space="preserve"> </w:t>
      </w:r>
      <w:r>
        <w:t xml:space="preserve">tab.</w:t>
      </w:r>
    </w:p>
    <w:p>
      <w:pPr>
        <w:pStyle w:val="BodyText"/>
      </w:pPr>
      <w:r>
        <w:rPr>
          <w:b/>
        </w:rPr>
        <w:t xml:space="preserve">Step 3 — Select the reporting period:</w:t>
      </w:r>
      <w:r>
        <w:t xml:space="preserve"> </w:t>
      </w:r>
      <w:r>
        <w:t xml:space="preserve">Confirm the reporting period: 1 April 2025 – 31 March 2026.</w:t>
      </w:r>
    </w:p>
    <w:p>
      <w:pPr>
        <w:pStyle w:val="BodyText"/>
      </w:pPr>
      <w:r>
        <w:rPr>
          <w:b/>
        </w:rPr>
        <w:t xml:space="preserve">Step 4 — Complete the questionnaire:</w:t>
      </w:r>
      <w:r>
        <w:t xml:space="preserve"> </w:t>
      </w:r>
      <w:r>
        <w:t xml:space="preserve">Answer all 9 questions as follows: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Question (Summary)</w:t>
            </w:r>
          </w:p>
        </w:tc>
        <w:tc>
          <w:tcPr>
            <w:tcBorders>
              <w:bottom w:val="single"/>
            </w:tcBorders>
            <w:vAlign w:val="bottom"/>
          </w:tcPr>
          <w:p>
            <w:pPr>
              <w:pStyle w:val="Compact"/>
              <w:jc w:val="left"/>
            </w:pPr>
            <w:r>
              <w:t xml:space="preserve">Answer</w:t>
            </w:r>
          </w:p>
        </w:tc>
      </w:tr>
      <w:tr>
        <w:tc>
          <w:p>
            <w:pPr>
              <w:pStyle w:val="Compact"/>
              <w:jc w:val="left"/>
            </w:pPr>
            <w:r>
              <w:t xml:space="preserve">1</w:t>
            </w:r>
          </w:p>
        </w:tc>
        <w:tc>
          <w:p>
            <w:pPr>
              <w:pStyle w:val="Compact"/>
              <w:jc w:val="left"/>
            </w:pPr>
            <w:r>
              <w:t xml:space="preserve">Requests for access received</w:t>
            </w:r>
          </w:p>
        </w:tc>
        <w:tc>
          <w:p>
            <w:pPr>
              <w:pStyle w:val="Compact"/>
              <w:jc w:val="left"/>
            </w:pPr>
            <w:r>
              <w:rPr>
                <w:b/>
              </w:rPr>
              <w:t xml:space="preserve">0</w:t>
            </w:r>
          </w:p>
        </w:tc>
      </w:tr>
      <w:tr>
        <w:tc>
          <w:p>
            <w:pPr>
              <w:pStyle w:val="Compact"/>
              <w:jc w:val="left"/>
            </w:pPr>
            <w:r>
              <w:t xml:space="preserve">2</w:t>
            </w:r>
          </w:p>
        </w:tc>
        <w:tc>
          <w:p>
            <w:pPr>
              <w:pStyle w:val="Compact"/>
              <w:jc w:val="left"/>
            </w:pPr>
            <w:r>
              <w:t xml:space="preserve">Requests granted in full</w:t>
            </w:r>
          </w:p>
        </w:tc>
        <w:tc>
          <w:p>
            <w:pPr>
              <w:pStyle w:val="Compact"/>
              <w:jc w:val="left"/>
            </w:pPr>
            <w:r>
              <w:rPr>
                <w:b/>
              </w:rPr>
              <w:t xml:space="preserve">0</w:t>
            </w:r>
          </w:p>
        </w:tc>
      </w:tr>
      <w:tr>
        <w:tc>
          <w:p>
            <w:pPr>
              <w:pStyle w:val="Compact"/>
              <w:jc w:val="left"/>
            </w:pPr>
            <w:r>
              <w:t xml:space="preserve">3</w:t>
            </w:r>
          </w:p>
        </w:tc>
        <w:tc>
          <w:p>
            <w:pPr>
              <w:pStyle w:val="Compact"/>
              <w:jc w:val="left"/>
            </w:pPr>
            <w:r>
              <w:t xml:space="preserve">Requests granted under section 70</w:t>
            </w:r>
          </w:p>
        </w:tc>
        <w:tc>
          <w:p>
            <w:pPr>
              <w:pStyle w:val="Compact"/>
              <w:jc w:val="left"/>
            </w:pPr>
            <w:r>
              <w:rPr>
                <w:b/>
              </w:rPr>
              <w:t xml:space="preserve">0</w:t>
            </w:r>
          </w:p>
        </w:tc>
      </w:tr>
      <w:tr>
        <w:tc>
          <w:p>
            <w:pPr>
              <w:pStyle w:val="Compact"/>
              <w:jc w:val="left"/>
            </w:pPr>
            <w:r>
              <w:t xml:space="preserve">4</w:t>
            </w:r>
          </w:p>
        </w:tc>
        <w:tc>
          <w:p>
            <w:pPr>
              <w:pStyle w:val="Compact"/>
              <w:jc w:val="left"/>
            </w:pPr>
            <w:r>
              <w:t xml:space="preserve">Requests refused (full or partial)</w:t>
            </w:r>
          </w:p>
        </w:tc>
        <w:tc>
          <w:p>
            <w:pPr>
              <w:pStyle w:val="Compact"/>
              <w:jc w:val="left"/>
            </w:pPr>
            <w:r>
              <w:rPr>
                <w:b/>
              </w:rPr>
              <w:t xml:space="preserve">0</w:t>
            </w:r>
          </w:p>
        </w:tc>
      </w:tr>
      <w:tr>
        <w:tc>
          <w:p>
            <w:pPr>
              <w:pStyle w:val="Compact"/>
              <w:jc w:val="left"/>
            </w:pPr>
            <w:r>
              <w:t xml:space="preserve">5</w:t>
            </w:r>
          </w:p>
        </w:tc>
        <w:tc>
          <w:p>
            <w:pPr>
              <w:pStyle w:val="Compact"/>
              <w:jc w:val="left"/>
            </w:pPr>
            <w:r>
              <w:t xml:space="preserve">Cases where section 56(1) periods extended</w:t>
            </w:r>
          </w:p>
        </w:tc>
        <w:tc>
          <w:p>
            <w:pPr>
              <w:pStyle w:val="Compact"/>
              <w:jc w:val="left"/>
            </w:pPr>
            <w:r>
              <w:rPr>
                <w:b/>
              </w:rPr>
              <w:t xml:space="preserve">0</w:t>
            </w:r>
          </w:p>
        </w:tc>
      </w:tr>
      <w:tr>
        <w:tc>
          <w:p>
            <w:pPr>
              <w:pStyle w:val="Compact"/>
              <w:jc w:val="left"/>
            </w:pPr>
            <w:r>
              <w:t xml:space="preserve">6</w:t>
            </w:r>
          </w:p>
        </w:tc>
        <w:tc>
          <w:p>
            <w:pPr>
              <w:pStyle w:val="Compact"/>
              <w:jc w:val="left"/>
            </w:pPr>
            <w:r>
              <w:t xml:space="preserve">Complaints lodged with Information Regulator</w:t>
            </w:r>
          </w:p>
        </w:tc>
        <w:tc>
          <w:p>
            <w:pPr>
              <w:pStyle w:val="Compact"/>
              <w:jc w:val="left"/>
            </w:pPr>
            <w:r>
              <w:rPr>
                <w:b/>
              </w:rPr>
              <w:t xml:space="preserve">0</w:t>
            </w:r>
          </w:p>
        </w:tc>
      </w:tr>
      <w:tr>
        <w:tc>
          <w:p>
            <w:pPr>
              <w:pStyle w:val="Compact"/>
              <w:jc w:val="left"/>
            </w:pPr>
            <w:r>
              <w:t xml:space="preserve">7</w:t>
            </w:r>
          </w:p>
        </w:tc>
        <w:tc>
          <w:p>
            <w:pPr>
              <w:pStyle w:val="Compact"/>
              <w:jc w:val="left"/>
            </w:pPr>
            <w:r>
              <w:t xml:space="preserve">IR decisions reviewed against</w:t>
            </w:r>
          </w:p>
        </w:tc>
        <w:tc>
          <w:p>
            <w:pPr>
              <w:pStyle w:val="Compact"/>
              <w:jc w:val="left"/>
            </w:pPr>
            <w:r>
              <w:rPr>
                <w:b/>
              </w:rPr>
              <w:t xml:space="preserve">0</w:t>
            </w:r>
          </w:p>
        </w:tc>
      </w:tr>
      <w:tr>
        <w:tc>
          <w:p>
            <w:pPr>
              <w:pStyle w:val="Compact"/>
              <w:jc w:val="left"/>
            </w:pPr>
            <w:r>
              <w:t xml:space="preserve">8</w:t>
            </w:r>
          </w:p>
        </w:tc>
        <w:tc>
          <w:p>
            <w:pPr>
              <w:pStyle w:val="Compact"/>
              <w:jc w:val="left"/>
            </w:pPr>
            <w:r>
              <w:t xml:space="preserve">Court applications</w:t>
            </w:r>
          </w:p>
        </w:tc>
        <w:tc>
          <w:p>
            <w:pPr>
              <w:pStyle w:val="Compact"/>
              <w:jc w:val="left"/>
            </w:pPr>
            <w:r>
              <w:rPr>
                <w:b/>
              </w:rPr>
              <w:t xml:space="preserve">0</w:t>
            </w:r>
          </w:p>
        </w:tc>
      </w:tr>
      <w:tr>
        <w:tc>
          <w:p>
            <w:pPr>
              <w:pStyle w:val="Compact"/>
              <w:jc w:val="left"/>
            </w:pPr>
            <w:r>
              <w:t xml:space="preserve">9</w:t>
            </w:r>
          </w:p>
        </w:tc>
        <w:tc>
          <w:p>
            <w:pPr>
              <w:pStyle w:val="Compact"/>
              <w:jc w:val="left"/>
            </w:pPr>
            <w:r>
              <w:t xml:space="preserve">Court decisions appealed (and outcome)</w:t>
            </w:r>
          </w:p>
        </w:tc>
        <w:tc>
          <w:p>
            <w:pPr>
              <w:pStyle w:val="Compact"/>
              <w:jc w:val="left"/>
            </w:pPr>
            <w:r>
              <w:rPr>
                <w:b/>
              </w:rPr>
              <w:t xml:space="preserve">0</w:t>
            </w:r>
          </w:p>
        </w:tc>
      </w:tr>
    </w:tbl>
    <w:p>
      <w:pPr>
        <w:pStyle w:val="BodyText"/>
      </w:pPr>
      <w:r>
        <w:rPr>
          <w:b/>
        </w:rPr>
        <w:t xml:space="preserve">Step 5 — Additional Comments:</w:t>
      </w:r>
      <w:r>
        <w:t xml:space="preserve"> </w:t>
      </w:r>
      <w:r>
        <w:t xml:space="preserve">Toggle YES on the</w:t>
      </w:r>
      <w:r>
        <w:t xml:space="preserve"> </w:t>
      </w:r>
      <w:r>
        <w:t xml:space="preserve">“</w:t>
      </w:r>
      <w:r>
        <w:t xml:space="preserve">Additional Comments</w:t>
      </w:r>
      <w:r>
        <w:t xml:space="preserve">”</w:t>
      </w:r>
      <w:r>
        <w:t xml:space="preserve"> </w:t>
      </w:r>
      <w:r>
        <w:t xml:space="preserve">field (if available) and enter the comment text from Part C above.</w:t>
      </w:r>
    </w:p>
    <w:p>
      <w:pPr>
        <w:pStyle w:val="BodyText"/>
      </w:pPr>
      <w:r>
        <w:rPr>
          <w:b/>
        </w:rPr>
        <w:t xml:space="preserve">Step 6 — Review and submit:</w:t>
      </w:r>
      <w:r>
        <w:t xml:space="preserve"> </w:t>
      </w:r>
      <w:r>
        <w:t xml:space="preserve">Review all answers before submitting. Once satisfied, submit the report.</w:t>
      </w:r>
    </w:p>
    <w:p>
      <w:pPr>
        <w:pStyle w:val="BodyText"/>
      </w:pPr>
      <w:r>
        <w:rPr>
          <w:b/>
        </w:rPr>
        <w:t xml:space="preserve">Step 7 — Record submission:</w:t>
      </w:r>
      <w:r>
        <w:t xml:space="preserve"> </w:t>
      </w:r>
      <w:r>
        <w:t xml:space="preserve">Record the submission reference number and date in Part D above. Keep this document as the company’s official retained copy.</w:t>
      </w:r>
    </w:p>
    <w:p>
      <w:r>
        <w:pict>
          <v:rect style="width:0;height:1.5pt" o:hralign="center" o:hrstd="t" o:hr="t"/>
        </w:pict>
      </w:r>
    </w:p>
    <w:p>
      <w:pPr>
        <w:pStyle w:val="Heading2"/>
      </w:pPr>
      <w:bookmarkStart w:id="31" w:name="part-g-compliance-calendar"/>
      <w:r>
        <w:t xml:space="preserve">PART G — COMPLIANCE CALENDAR</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Due Date</w:t>
            </w:r>
          </w:p>
        </w:tc>
        <w:tc>
          <w:tcPr>
            <w:tcBorders>
              <w:bottom w:val="single"/>
            </w:tcBorders>
            <w:vAlign w:val="bottom"/>
          </w:tcPr>
          <w:p>
            <w:pPr>
              <w:pStyle w:val="Compact"/>
              <w:jc w:val="left"/>
            </w:pPr>
            <w:r>
              <w:t xml:space="preserve">Status</w:t>
            </w:r>
          </w:p>
        </w:tc>
      </w:tr>
      <w:tr>
        <w:tc>
          <w:p>
            <w:pPr>
              <w:pStyle w:val="Compact"/>
              <w:jc w:val="left"/>
            </w:pPr>
            <w:r>
              <w:t xml:space="preserve">PAIA Annual Report 2025/2026 submission</w:t>
            </w:r>
          </w:p>
        </w:tc>
        <w:tc>
          <w:p>
            <w:pPr>
              <w:pStyle w:val="Compact"/>
              <w:jc w:val="left"/>
            </w:pPr>
            <w:r>
              <w:t xml:space="preserve">30 June 2026</w:t>
            </w:r>
          </w:p>
        </w:tc>
        <w:tc>
          <w:p>
            <w:pPr>
              <w:pStyle w:val="Compact"/>
              <w:jc w:val="left"/>
            </w:pPr>
            <w:r>
              <w:t xml:space="preserve">⚠️ DUE — Submit immediately</w:t>
            </w:r>
          </w:p>
        </w:tc>
      </w:tr>
      <w:tr>
        <w:tc>
          <w:p>
            <w:pPr>
              <w:pStyle w:val="Compact"/>
              <w:jc w:val="left"/>
            </w:pPr>
            <w:r>
              <w:t xml:space="preserve">PAIA Annual Report 2026/2027 submission</w:t>
            </w:r>
          </w:p>
        </w:tc>
        <w:tc>
          <w:p>
            <w:pPr>
              <w:pStyle w:val="Compact"/>
              <w:jc w:val="left"/>
            </w:pPr>
            <w:r>
              <w:t xml:space="preserve">30 June 2027</w:t>
            </w:r>
          </w:p>
        </w:tc>
        <w:tc>
          <w:p>
            <w:pPr>
              <w:pStyle w:val="Compact"/>
              <w:jc w:val="left"/>
            </w:pPr>
            <w:r>
              <w:t xml:space="preserve">Pending</w:t>
            </w:r>
          </w:p>
        </w:tc>
      </w:tr>
      <w:tr>
        <w:tc>
          <w:p>
            <w:pPr>
              <w:pStyle w:val="Compact"/>
              <w:jc w:val="left"/>
            </w:pPr>
            <w:r>
              <w:t xml:space="preserve">IO Registration (Andile Khoza)</w:t>
            </w:r>
          </w:p>
        </w:tc>
        <w:tc>
          <w:p>
            <w:pPr>
              <w:pStyle w:val="Compact"/>
              <w:jc w:val="left"/>
            </w:pPr>
            <w:r>
              <w:t xml:space="preserve">Completed</w:t>
            </w:r>
          </w:p>
        </w:tc>
        <w:tc>
          <w:p>
            <w:pPr>
              <w:pStyle w:val="Compact"/>
              <w:jc w:val="left"/>
            </w:pPr>
            <w:r>
              <w:t xml:space="preserve">✅ Registered (2025-058837)</w:t>
            </w:r>
          </w:p>
        </w:tc>
      </w:tr>
      <w:tr>
        <w:tc>
          <w:p>
            <w:pPr>
              <w:pStyle w:val="Compact"/>
              <w:jc w:val="left"/>
            </w:pPr>
            <w:r>
              <w:t xml:space="preserve">Section 51 PAIA Manual — prepared</w:t>
            </w:r>
          </w:p>
        </w:tc>
        <w:tc>
          <w:p>
            <w:pPr>
              <w:pStyle w:val="Compact"/>
              <w:jc w:val="left"/>
            </w:pPr>
            <w:r>
              <w:t xml:space="preserve">June 2026</w:t>
            </w:r>
          </w:p>
        </w:tc>
        <w:tc>
          <w:p>
            <w:pPr>
              <w:pStyle w:val="Compact"/>
              <w:jc w:val="left"/>
            </w:pPr>
            <w:r>
              <w:t xml:space="preserve">✅ Prepared</w:t>
            </w:r>
          </w:p>
        </w:tc>
      </w:tr>
      <w:tr>
        <w:tc>
          <w:p>
            <w:pPr>
              <w:pStyle w:val="Compact"/>
              <w:jc w:val="left"/>
            </w:pPr>
            <w:r>
              <w:t xml:space="preserve">Section 51 PAIA Manual — published to website</w:t>
            </w:r>
          </w:p>
        </w:tc>
        <w:tc>
          <w:p>
            <w:pPr>
              <w:pStyle w:val="Compact"/>
              <w:jc w:val="left"/>
            </w:pPr>
            <w:r>
              <w:t xml:space="preserve">[ASAP]</w:t>
            </w:r>
          </w:p>
        </w:tc>
        <w:tc>
          <w:p>
            <w:pPr>
              <w:pStyle w:val="Compact"/>
              <w:jc w:val="left"/>
            </w:pPr>
            <w:r>
              <w:t xml:space="preserve">⚠️ Action required</w:t>
            </w:r>
          </w:p>
        </w:tc>
      </w:tr>
      <w:tr>
        <w:tc>
          <w:p>
            <w:pPr>
              <w:pStyle w:val="Compact"/>
              <w:jc w:val="left"/>
            </w:pPr>
            <w:r>
              <w:t xml:space="preserve">B-BBEE EME Affidavit renewal</w:t>
            </w:r>
          </w:p>
        </w:tc>
        <w:tc>
          <w:p>
            <w:pPr>
              <w:pStyle w:val="Compact"/>
              <w:jc w:val="left"/>
            </w:pPr>
            <w:r>
              <w:t xml:space="preserve">30 June 2026</w:t>
            </w:r>
          </w:p>
        </w:tc>
        <w:tc>
          <w:p>
            <w:pPr>
              <w:pStyle w:val="Compact"/>
              <w:jc w:val="left"/>
            </w:pPr>
            <w:r>
              <w:t xml:space="preserve">🔴 CRITICAL — 24 days remaining</w:t>
            </w:r>
          </w:p>
        </w:tc>
      </w:tr>
    </w:tbl>
    <w:p>
      <w:r>
        <w:pict>
          <v:rect style="width:0;height:1.5pt" o:hralign="center" o:hrstd="t" o:hr="t"/>
        </w:pict>
      </w:r>
    </w:p>
    <w:p>
      <w:pPr>
        <w:pStyle w:val="BlockText"/>
      </w:pPr>
      <w:r>
        <w:rPr>
          <w:b/>
        </w:rPr>
        <w:t xml:space="preserve">LEGAL NOTICE:</w:t>
      </w:r>
      <w:r>
        <w:t xml:space="preserve"> </w:t>
      </w:r>
      <w:r>
        <w:t xml:space="preserve">This document is the official company-retained copy of the PAIA Annual Report for Proaxis Solutions (Pty) Ltd for the financial year ending 31 March 2026. It must be retained for a minimum period of 5 years in accordance with good governance practice. Failure to submit the annual report to the Information Regulator by 30 June 2026 may constitute non-compliance with PAIA and may result in administrative sanctions or enforcement action.</w:t>
      </w:r>
    </w:p>
    <w:p>
      <w:r>
        <w:pict>
          <v:rect style="width:0;height:1.5pt" o:hralign="center" o:hrstd="t" o:hr="t"/>
        </w:pict>
      </w:r>
    </w:p>
    <w:p>
      <w:pPr>
        <w:pStyle w:val="FirstParagraph"/>
      </w:pPr>
      <w:r>
        <w:rPr>
          <w:i/>
        </w:rPr>
        <w:t xml:space="preserve">Proaxis Solutions (Pty) Ltd | Reg: 2025/542019/07 | PAIA Information Officer: Andile Khoza (2025-058837)</w:t>
      </w:r>
      <w:r>
        <w:br/>
      </w:r>
      <w:r>
        <w:rPr>
          <w:i/>
        </w:rPr>
        <w:t xml:space="preserve">Document version 1.0 | June 2026 | Prepared with AI assistance — verify all submission details on the eServices portal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2026-06-06T13:39:34Z</dcterms:created>
  <dcterms:modified xsi:type="dcterms:W3CDTF">2026-06-06T13:39:34Z</dcterms:modified>
</cp:coreProperties>
</file>

<file path=docProps/custom.xml><?xml version="1.0" encoding="utf-8"?>
<Properties xmlns="http://schemas.openxmlformats.org/officeDocument/2006/custom-properties" xmlns:vt="http://schemas.openxmlformats.org/officeDocument/2006/docPropsVTypes"/>
</file>