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28"/>
        </w:rPr>
        <w:t>MA'LUMOTNOMA</w:t>
      </w:r>
    </w:p>
    <w:p>
      <w:pPr>
        <w:spacing w:before="0" w:after="200"/>
        <w:jc w:val="center"/>
      </w:pPr>
      <w:r>
        <w:rPr>
          <w:rFonts w:ascii="Times New Roman" w:hAnsi="Times New Roman" w:eastAsia="Times New Roman"/>
          <w:b/>
          <w:i w:val="0"/>
          <w:sz w:val="24"/>
        </w:rPr>
        <w:t>Университетда талабаларга хизмат кўрсатиш жараёнларини рақамлаштириш ва “Ягона дарча” тамойили асосида ташкил этилган регистратор офиси хизматларини масофавий кўрсатиш тизимини жорий этиш тўғрисида</w:t>
      </w:r>
    </w:p>
    <w:p>
      <w:pPr>
        <w:spacing w:before="0" w:after="200"/>
        <w:ind w:firstLine="709"/>
        <w:jc w:val="both"/>
      </w:pPr>
      <w:r>
        <w:rPr>
          <w:rFonts w:ascii="Times New Roman" w:hAnsi="Times New Roman" w:eastAsia="Times New Roman"/>
          <w:b w:val="0"/>
          <w:i w:val="0"/>
          <w:sz w:val="24"/>
        </w:rPr>
        <w:t>Мазкур маълумотнома университет Регистратор офиси хизматларини рақамли шаклда, “Ягона дарча” тамойили асосида масофадан кўрсатишга мўлжалланган ROYD (Registrator Ofisi – Yagona Darcha) ахборот тизимини ишлаб чиқиш ва жорий этиш юзасидан бажарилган ишлар тўғрисида тузилди.</w:t>
      </w:r>
    </w:p>
    <w:p>
      <w:pPr>
        <w:keepNext/>
        <w:spacing w:before="240" w:after="120"/>
        <w:jc w:val="left"/>
      </w:pPr>
      <w:r>
        <w:rPr>
          <w:rFonts w:ascii="Times New Roman" w:hAnsi="Times New Roman" w:eastAsia="Times New Roman"/>
          <w:b/>
          <w:i w:val="0"/>
          <w:sz w:val="26"/>
        </w:rPr>
        <w:t>1. Умумий маълумот ва тизимнинг мақсади</w:t>
      </w:r>
    </w:p>
    <w:p>
      <w:pPr>
        <w:spacing w:before="0" w:after="120"/>
        <w:ind w:firstLine="709"/>
        <w:jc w:val="both"/>
      </w:pPr>
      <w:r>
        <w:rPr>
          <w:rFonts w:ascii="Times New Roman" w:hAnsi="Times New Roman" w:eastAsia="Times New Roman"/>
          <w:b w:val="0"/>
          <w:i w:val="0"/>
          <w:sz w:val="24"/>
        </w:rPr>
        <w:t>Илгари талаба ҳар бир масала бўйича алоҳида бўлим ва масъул ходимга мурожаат қилишга, ҳужжатларни қоғоз шаклида топширишга ва натижани кутиш учун университетга бир неча бор келишга мажбур эди. Мурожаатларнинг ҳисоби юритилмас, ижро муддатлари назорат қилинмас ва раҳбарият ягона таҳлилий маълумотга эга эмас эди.</w:t>
      </w:r>
    </w:p>
    <w:p>
      <w:pPr>
        <w:spacing w:before="0" w:after="120"/>
        <w:ind w:firstLine="709"/>
        <w:jc w:val="both"/>
      </w:pPr>
      <w:r>
        <w:rPr>
          <w:rFonts w:ascii="Times New Roman" w:hAnsi="Times New Roman" w:eastAsia="Times New Roman"/>
          <w:b w:val="0"/>
          <w:i w:val="0"/>
          <w:sz w:val="24"/>
        </w:rPr>
        <w:t>ROYD тизимининг жорий этилиши натижасида талаба барча хизматлар учун ягона электрон дарчадан фойдаланади: мурожаат масофадан тақдим этилади, тизим уни автоматик равишда масъул ходимга йўналтиради, ижро муддати (SLA) назоратга олинади, талаба эса мурожаат ҳолатини реал вақт режимида кузатиб боради.</w:t>
      </w:r>
    </w:p>
    <w:p>
      <w:pPr>
        <w:spacing w:before="0" w:after="60"/>
        <w:ind w:firstLine="709"/>
        <w:jc w:val="both"/>
      </w:pPr>
      <w:r>
        <w:rPr>
          <w:rFonts w:ascii="Times New Roman" w:hAnsi="Times New Roman" w:eastAsia="Times New Roman"/>
          <w:b w:val="0"/>
          <w:i w:val="0"/>
          <w:sz w:val="24"/>
        </w:rPr>
        <w:t>Тизимни жорий этишдан кўзланган асосий мақсадлар:</w:t>
      </w:r>
    </w:p>
    <w:p>
      <w:pPr>
        <w:spacing w:after="60"/>
        <w:ind w:left="425"/>
        <w:jc w:val="both"/>
      </w:pPr>
      <w:r>
        <w:rPr>
          <w:rFonts w:ascii="Times New Roman" w:hAnsi="Times New Roman" w:eastAsia="Times New Roman"/>
          <w:b w:val="0"/>
          <w:i w:val="0"/>
          <w:sz w:val="24"/>
        </w:rPr>
        <w:t>– талабага кўрсатиладиган хизматларни “Ягона дарча” тамойили асосида ягона электрон платформада бирлаштириш;</w:t>
      </w:r>
    </w:p>
    <w:p>
      <w:pPr>
        <w:spacing w:after="60"/>
        <w:ind w:left="425"/>
        <w:jc w:val="both"/>
      </w:pPr>
      <w:r>
        <w:rPr>
          <w:rFonts w:ascii="Times New Roman" w:hAnsi="Times New Roman" w:eastAsia="Times New Roman"/>
          <w:b w:val="0"/>
          <w:i w:val="0"/>
          <w:sz w:val="24"/>
        </w:rPr>
        <w:t>– хизмат кўрсатиш жараёнларини қоғозсиз, масофавий шаклга ўтказиш ва талабанинг университетга такрорий келишига бўлган эҳтиёжни бартараф этиш;</w:t>
      </w:r>
    </w:p>
    <w:p>
      <w:pPr>
        <w:spacing w:after="60"/>
        <w:ind w:left="425"/>
        <w:jc w:val="both"/>
      </w:pPr>
      <w:r>
        <w:rPr>
          <w:rFonts w:ascii="Times New Roman" w:hAnsi="Times New Roman" w:eastAsia="Times New Roman"/>
          <w:b w:val="0"/>
          <w:i w:val="0"/>
          <w:sz w:val="24"/>
        </w:rPr>
        <w:t>– ҳар бир мурожаат бўйича масъул ходим ва ижро муддатини аниқ белгилаш ҳамда уларнинг ижросини автоматик назорат қилиш;</w:t>
      </w:r>
    </w:p>
    <w:p>
      <w:pPr>
        <w:spacing w:after="60"/>
        <w:ind w:left="425"/>
        <w:jc w:val="both"/>
      </w:pPr>
      <w:r>
        <w:rPr>
          <w:rFonts w:ascii="Times New Roman" w:hAnsi="Times New Roman" w:eastAsia="Times New Roman"/>
          <w:b w:val="0"/>
          <w:i w:val="0"/>
          <w:sz w:val="24"/>
        </w:rPr>
        <w:t>– барча ҳаракатларни ўзгартириб бўлмайдиган шаклда қайд этиш орқали жараён шаффофлигини таъминлаш;</w:t>
      </w:r>
    </w:p>
    <w:p>
      <w:pPr>
        <w:spacing w:after="60"/>
        <w:ind w:left="425"/>
        <w:jc w:val="both"/>
      </w:pPr>
      <w:r>
        <w:rPr>
          <w:rFonts w:ascii="Times New Roman" w:hAnsi="Times New Roman" w:eastAsia="Times New Roman"/>
          <w:b w:val="0"/>
          <w:i w:val="0"/>
          <w:sz w:val="24"/>
        </w:rPr>
        <w:t>– раҳбариятни хизмат кўрсатиш сифати ва ходимлар фаолияти бўйича объектив таҳлилий маълумот билан таъминлаш.</w:t>
      </w:r>
    </w:p>
    <w:p>
      <w:pPr>
        <w:keepNext/>
        <w:spacing w:before="240" w:after="120"/>
        <w:jc w:val="left"/>
      </w:pPr>
      <w:r>
        <w:rPr>
          <w:rFonts w:ascii="Times New Roman" w:hAnsi="Times New Roman" w:eastAsia="Times New Roman"/>
          <w:b/>
          <w:i w:val="0"/>
          <w:sz w:val="26"/>
        </w:rPr>
        <w:t>2. “Ягона дарча” хизматлари рўйхатининг шакллантирилиши</w:t>
      </w:r>
    </w:p>
    <w:p>
      <w:pPr>
        <w:spacing w:before="0" w:after="120"/>
        <w:ind w:firstLine="709"/>
        <w:jc w:val="both"/>
      </w:pPr>
      <w:r>
        <w:rPr>
          <w:rFonts w:ascii="Times New Roman" w:hAnsi="Times New Roman" w:eastAsia="Times New Roman"/>
          <w:b w:val="0"/>
          <w:i w:val="0"/>
          <w:sz w:val="24"/>
        </w:rPr>
        <w:t>Регистратор офиси томонидан кўрсатилиши лозим бўлган хизматлар тизимли таҳлил қилиниб, 6 та йўналиш (хизмат тури) бўйича жами 59 та хизмат тоифалаштирилди ва тизимнинг электрон каталогига киритилди. Ҳар бир хизмат тури учун ижро муддати (SLA) ва устуворлик даражаси белгиланди: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567"/>
          </w:tcPr>
          <w:p>
            <w:pPr>
              <w:jc w:val="center"/>
            </w:pPr>
            <w:r>
              <w:rPr>
                <w:rFonts w:ascii="Times New Roman" w:hAnsi="Times New Roman" w:eastAsia="Times New Roman"/>
                <w:b/>
                <w:i w:val="0"/>
                <w:sz w:val="22"/>
              </w:rPr>
              <w:t>№</w:t>
            </w:r>
          </w:p>
        </w:tc>
        <w:tc>
          <w:tcPr>
            <w:tcW w:type="dxa" w:w="4195"/>
          </w:tcPr>
          <w:p>
            <w:pPr>
              <w:jc w:val="center"/>
            </w:pPr>
            <w:r>
              <w:rPr>
                <w:rFonts w:ascii="Times New Roman" w:hAnsi="Times New Roman" w:eastAsia="Times New Roman"/>
                <w:b/>
                <w:i w:val="0"/>
                <w:sz w:val="22"/>
              </w:rPr>
              <w:t>Хизмат йўналиши</w:t>
            </w:r>
          </w:p>
        </w:tc>
        <w:tc>
          <w:tcPr>
            <w:tcW w:type="dxa" w:w="1247"/>
          </w:tcPr>
          <w:p>
            <w:pPr>
              <w:jc w:val="center"/>
            </w:pPr>
            <w:r>
              <w:rPr>
                <w:rFonts w:ascii="Times New Roman" w:hAnsi="Times New Roman" w:eastAsia="Times New Roman"/>
                <w:b/>
                <w:i w:val="0"/>
                <w:sz w:val="22"/>
              </w:rPr>
              <w:t>Хизматлар сони</w:t>
            </w:r>
          </w:p>
        </w:tc>
        <w:tc>
          <w:tcPr>
            <w:tcW w:type="dxa" w:w="1361"/>
          </w:tcPr>
          <w:p>
            <w:pPr>
              <w:jc w:val="center"/>
            </w:pPr>
            <w:r>
              <w:rPr>
                <w:rFonts w:ascii="Times New Roman" w:hAnsi="Times New Roman" w:eastAsia="Times New Roman"/>
                <w:b/>
                <w:i w:val="0"/>
                <w:sz w:val="22"/>
              </w:rPr>
              <w:t>Ижро муддати</w:t>
            </w:r>
          </w:p>
        </w:tc>
        <w:tc>
          <w:tcPr>
            <w:tcW w:type="dxa" w:w="1247"/>
          </w:tcPr>
          <w:p>
            <w:pPr>
              <w:jc w:val="center"/>
            </w:pPr>
            <w:r>
              <w:rPr>
                <w:rFonts w:ascii="Times New Roman" w:hAnsi="Times New Roman" w:eastAsia="Times New Roman"/>
                <w:b/>
                <w:i w:val="0"/>
                <w:sz w:val="22"/>
              </w:rPr>
              <w:t>Устуворлик</w:t>
            </w:r>
          </w:p>
        </w:tc>
      </w:tr>
      <w:tr>
        <w:tc>
          <w:tcPr>
            <w:tcW w:type="dxa" w:w="567"/>
          </w:tcPr>
          <w:p>
            <w:pPr>
              <w:jc w:val="center"/>
            </w:pPr>
            <w:r>
              <w:rPr>
                <w:rFonts w:ascii="Times New Roman" w:hAnsi="Times New Roman" w:eastAsia="Times New Roman"/>
                <w:b w:val="0"/>
                <w:i w:val="0"/>
                <w:sz w:val="22"/>
              </w:rPr>
              <w:t>1</w:t>
            </w:r>
          </w:p>
        </w:tc>
        <w:tc>
          <w:tcPr>
            <w:tcW w:type="dxa" w:w="4195"/>
          </w:tcPr>
          <w:p>
            <w:pPr>
              <w:jc w:val="left"/>
            </w:pPr>
            <w:r>
              <w:rPr>
                <w:rFonts w:ascii="Times New Roman" w:hAnsi="Times New Roman" w:eastAsia="Times New Roman"/>
                <w:b w:val="0"/>
                <w:i w:val="0"/>
                <w:sz w:val="22"/>
              </w:rPr>
              <w:t>Академик (ўқув) фаолияти бўйича</w:t>
            </w:r>
          </w:p>
        </w:tc>
        <w:tc>
          <w:tcPr>
            <w:tcW w:type="dxa" w:w="1247"/>
          </w:tcPr>
          <w:p>
            <w:pPr>
              <w:jc w:val="left"/>
            </w:pPr>
            <w:r>
              <w:rPr>
                <w:rFonts w:ascii="Times New Roman" w:hAnsi="Times New Roman" w:eastAsia="Times New Roman"/>
                <w:b w:val="0"/>
                <w:i w:val="0"/>
                <w:sz w:val="22"/>
              </w:rPr>
              <w:t>30</w:t>
            </w:r>
          </w:p>
        </w:tc>
        <w:tc>
          <w:tcPr>
            <w:tcW w:type="dxa" w:w="1361"/>
          </w:tcPr>
          <w:p>
            <w:pPr>
              <w:jc w:val="left"/>
            </w:pPr>
            <w:r>
              <w:rPr>
                <w:rFonts w:ascii="Times New Roman" w:hAnsi="Times New Roman" w:eastAsia="Times New Roman"/>
                <w:b w:val="0"/>
                <w:i w:val="0"/>
                <w:sz w:val="22"/>
              </w:rPr>
              <w:t>48 соат</w:t>
            </w:r>
          </w:p>
        </w:tc>
        <w:tc>
          <w:tcPr>
            <w:tcW w:type="dxa" w:w="1247"/>
          </w:tcPr>
          <w:p>
            <w:pPr>
              <w:jc w:val="left"/>
            </w:pPr>
            <w:r>
              <w:rPr>
                <w:rFonts w:ascii="Times New Roman" w:hAnsi="Times New Roman" w:eastAsia="Times New Roman"/>
                <w:b w:val="0"/>
                <w:i w:val="0"/>
                <w:sz w:val="22"/>
              </w:rPr>
              <w:t>оддий</w:t>
            </w:r>
          </w:p>
        </w:tc>
      </w:tr>
      <w:tr>
        <w:tc>
          <w:tcPr>
            <w:tcW w:type="dxa" w:w="567"/>
          </w:tcPr>
          <w:p>
            <w:pPr>
              <w:jc w:val="center"/>
            </w:pPr>
            <w:r>
              <w:rPr>
                <w:rFonts w:ascii="Times New Roman" w:hAnsi="Times New Roman" w:eastAsia="Times New Roman"/>
                <w:b w:val="0"/>
                <w:i w:val="0"/>
                <w:sz w:val="22"/>
              </w:rPr>
              <w:t>2</w:t>
            </w:r>
          </w:p>
        </w:tc>
        <w:tc>
          <w:tcPr>
            <w:tcW w:type="dxa" w:w="4195"/>
          </w:tcPr>
          <w:p>
            <w:pPr>
              <w:jc w:val="left"/>
            </w:pPr>
            <w:r>
              <w:rPr>
                <w:rFonts w:ascii="Times New Roman" w:hAnsi="Times New Roman" w:eastAsia="Times New Roman"/>
                <w:b w:val="0"/>
                <w:i w:val="0"/>
                <w:sz w:val="22"/>
              </w:rPr>
              <w:t>Ёшлар масалалари ва маънавий-маърифий фаолият бўйича</w:t>
            </w:r>
          </w:p>
        </w:tc>
        <w:tc>
          <w:tcPr>
            <w:tcW w:type="dxa" w:w="1247"/>
          </w:tcPr>
          <w:p>
            <w:pPr>
              <w:jc w:val="left"/>
            </w:pPr>
            <w:r>
              <w:rPr>
                <w:rFonts w:ascii="Times New Roman" w:hAnsi="Times New Roman" w:eastAsia="Times New Roman"/>
                <w:b w:val="0"/>
                <w:i w:val="0"/>
                <w:sz w:val="22"/>
              </w:rPr>
              <w:t>2</w:t>
            </w:r>
          </w:p>
        </w:tc>
        <w:tc>
          <w:tcPr>
            <w:tcW w:type="dxa" w:w="1361"/>
          </w:tcPr>
          <w:p>
            <w:pPr>
              <w:jc w:val="left"/>
            </w:pPr>
            <w:r>
              <w:rPr>
                <w:rFonts w:ascii="Times New Roman" w:hAnsi="Times New Roman" w:eastAsia="Times New Roman"/>
                <w:b w:val="0"/>
                <w:i w:val="0"/>
                <w:sz w:val="22"/>
              </w:rPr>
              <w:t>72 соат</w:t>
            </w:r>
          </w:p>
        </w:tc>
        <w:tc>
          <w:tcPr>
            <w:tcW w:type="dxa" w:w="1247"/>
          </w:tcPr>
          <w:p>
            <w:pPr>
              <w:jc w:val="left"/>
            </w:pPr>
            <w:r>
              <w:rPr>
                <w:rFonts w:ascii="Times New Roman" w:hAnsi="Times New Roman" w:eastAsia="Times New Roman"/>
                <w:b w:val="0"/>
                <w:i w:val="0"/>
                <w:sz w:val="22"/>
              </w:rPr>
              <w:t>оддий</w:t>
            </w:r>
          </w:p>
        </w:tc>
      </w:tr>
      <w:tr>
        <w:tc>
          <w:tcPr>
            <w:tcW w:type="dxa" w:w="567"/>
          </w:tcPr>
          <w:p>
            <w:pPr>
              <w:jc w:val="center"/>
            </w:pPr>
            <w:r>
              <w:rPr>
                <w:rFonts w:ascii="Times New Roman" w:hAnsi="Times New Roman" w:eastAsia="Times New Roman"/>
                <w:b w:val="0"/>
                <w:i w:val="0"/>
                <w:sz w:val="22"/>
              </w:rPr>
              <w:t>3</w:t>
            </w:r>
          </w:p>
        </w:tc>
        <w:tc>
          <w:tcPr>
            <w:tcW w:type="dxa" w:w="4195"/>
          </w:tcPr>
          <w:p>
            <w:pPr>
              <w:jc w:val="left"/>
            </w:pPr>
            <w:r>
              <w:rPr>
                <w:rFonts w:ascii="Times New Roman" w:hAnsi="Times New Roman" w:eastAsia="Times New Roman"/>
                <w:b w:val="0"/>
                <w:i w:val="0"/>
                <w:sz w:val="22"/>
              </w:rPr>
              <w:t>Халқаро алоқалар фаолияти бўйича</w:t>
            </w:r>
          </w:p>
        </w:tc>
        <w:tc>
          <w:tcPr>
            <w:tcW w:type="dxa" w:w="1247"/>
          </w:tcPr>
          <w:p>
            <w:pPr>
              <w:jc w:val="left"/>
            </w:pPr>
            <w:r>
              <w:rPr>
                <w:rFonts w:ascii="Times New Roman" w:hAnsi="Times New Roman" w:eastAsia="Times New Roman"/>
                <w:b w:val="0"/>
                <w:i w:val="0"/>
                <w:sz w:val="22"/>
              </w:rPr>
              <w:t>8</w:t>
            </w:r>
          </w:p>
        </w:tc>
        <w:tc>
          <w:tcPr>
            <w:tcW w:type="dxa" w:w="1361"/>
          </w:tcPr>
          <w:p>
            <w:pPr>
              <w:jc w:val="left"/>
            </w:pPr>
            <w:r>
              <w:rPr>
                <w:rFonts w:ascii="Times New Roman" w:hAnsi="Times New Roman" w:eastAsia="Times New Roman"/>
                <w:b w:val="0"/>
                <w:i w:val="0"/>
                <w:sz w:val="22"/>
              </w:rPr>
              <w:t>72 соат</w:t>
            </w:r>
          </w:p>
        </w:tc>
        <w:tc>
          <w:tcPr>
            <w:tcW w:type="dxa" w:w="1247"/>
          </w:tcPr>
          <w:p>
            <w:pPr>
              <w:jc w:val="left"/>
            </w:pPr>
            <w:r>
              <w:rPr>
                <w:rFonts w:ascii="Times New Roman" w:hAnsi="Times New Roman" w:eastAsia="Times New Roman"/>
                <w:b w:val="0"/>
                <w:i w:val="0"/>
                <w:sz w:val="22"/>
              </w:rPr>
              <w:t>оддий</w:t>
            </w:r>
          </w:p>
        </w:tc>
      </w:tr>
      <w:tr>
        <w:tc>
          <w:tcPr>
            <w:tcW w:type="dxa" w:w="567"/>
          </w:tcPr>
          <w:p>
            <w:pPr>
              <w:jc w:val="center"/>
            </w:pPr>
            <w:r>
              <w:rPr>
                <w:rFonts w:ascii="Times New Roman" w:hAnsi="Times New Roman" w:eastAsia="Times New Roman"/>
                <w:b w:val="0"/>
                <w:i w:val="0"/>
                <w:sz w:val="22"/>
              </w:rPr>
              <w:t>4</w:t>
            </w:r>
          </w:p>
        </w:tc>
        <w:tc>
          <w:tcPr>
            <w:tcW w:type="dxa" w:w="4195"/>
          </w:tcPr>
          <w:p>
            <w:pPr>
              <w:jc w:val="left"/>
            </w:pPr>
            <w:r>
              <w:rPr>
                <w:rFonts w:ascii="Times New Roman" w:hAnsi="Times New Roman" w:eastAsia="Times New Roman"/>
                <w:b w:val="0"/>
                <w:i w:val="0"/>
                <w:sz w:val="22"/>
              </w:rPr>
              <w:t>Бухгалтерия ва маркетинг бўйича</w:t>
            </w:r>
          </w:p>
        </w:tc>
        <w:tc>
          <w:tcPr>
            <w:tcW w:type="dxa" w:w="1247"/>
          </w:tcPr>
          <w:p>
            <w:pPr>
              <w:jc w:val="left"/>
            </w:pPr>
            <w:r>
              <w:rPr>
                <w:rFonts w:ascii="Times New Roman" w:hAnsi="Times New Roman" w:eastAsia="Times New Roman"/>
                <w:b w:val="0"/>
                <w:i w:val="0"/>
                <w:sz w:val="22"/>
              </w:rPr>
              <w:t>9</w:t>
            </w:r>
          </w:p>
        </w:tc>
        <w:tc>
          <w:tcPr>
            <w:tcW w:type="dxa" w:w="1361"/>
          </w:tcPr>
          <w:p>
            <w:pPr>
              <w:jc w:val="left"/>
            </w:pPr>
            <w:r>
              <w:rPr>
                <w:rFonts w:ascii="Times New Roman" w:hAnsi="Times New Roman" w:eastAsia="Times New Roman"/>
                <w:b w:val="0"/>
                <w:i w:val="0"/>
                <w:sz w:val="22"/>
              </w:rPr>
              <w:t>72 соат</w:t>
            </w:r>
          </w:p>
        </w:tc>
        <w:tc>
          <w:tcPr>
            <w:tcW w:type="dxa" w:w="1247"/>
          </w:tcPr>
          <w:p>
            <w:pPr>
              <w:jc w:val="left"/>
            </w:pPr>
            <w:r>
              <w:rPr>
                <w:rFonts w:ascii="Times New Roman" w:hAnsi="Times New Roman" w:eastAsia="Times New Roman"/>
                <w:b w:val="0"/>
                <w:i w:val="0"/>
                <w:sz w:val="22"/>
              </w:rPr>
              <w:t>юқори</w:t>
            </w:r>
          </w:p>
        </w:tc>
      </w:tr>
      <w:tr>
        <w:tc>
          <w:tcPr>
            <w:tcW w:type="dxa" w:w="567"/>
          </w:tcPr>
          <w:p>
            <w:pPr>
              <w:jc w:val="center"/>
            </w:pPr>
            <w:r>
              <w:rPr>
                <w:rFonts w:ascii="Times New Roman" w:hAnsi="Times New Roman" w:eastAsia="Times New Roman"/>
                <w:b w:val="0"/>
                <w:i w:val="0"/>
                <w:sz w:val="22"/>
              </w:rPr>
              <w:t>5</w:t>
            </w:r>
          </w:p>
        </w:tc>
        <w:tc>
          <w:tcPr>
            <w:tcW w:type="dxa" w:w="4195"/>
          </w:tcPr>
          <w:p>
            <w:pPr>
              <w:jc w:val="left"/>
            </w:pPr>
            <w:r>
              <w:rPr>
                <w:rFonts w:ascii="Times New Roman" w:hAnsi="Times New Roman" w:eastAsia="Times New Roman"/>
                <w:b w:val="0"/>
                <w:i w:val="0"/>
                <w:sz w:val="22"/>
              </w:rPr>
              <w:t>Илмий фаолият бўйича</w:t>
            </w:r>
          </w:p>
        </w:tc>
        <w:tc>
          <w:tcPr>
            <w:tcW w:type="dxa" w:w="1247"/>
          </w:tcPr>
          <w:p>
            <w:pPr>
              <w:jc w:val="left"/>
            </w:pPr>
            <w:r>
              <w:rPr>
                <w:rFonts w:ascii="Times New Roman" w:hAnsi="Times New Roman" w:eastAsia="Times New Roman"/>
                <w:b w:val="0"/>
                <w:i w:val="0"/>
                <w:sz w:val="22"/>
              </w:rPr>
              <w:t>6</w:t>
            </w:r>
          </w:p>
        </w:tc>
        <w:tc>
          <w:tcPr>
            <w:tcW w:type="dxa" w:w="1361"/>
          </w:tcPr>
          <w:p>
            <w:pPr>
              <w:jc w:val="left"/>
            </w:pPr>
            <w:r>
              <w:rPr>
                <w:rFonts w:ascii="Times New Roman" w:hAnsi="Times New Roman" w:eastAsia="Times New Roman"/>
                <w:b w:val="0"/>
                <w:i w:val="0"/>
                <w:sz w:val="22"/>
              </w:rPr>
              <w:t>72 соат</w:t>
            </w:r>
          </w:p>
        </w:tc>
        <w:tc>
          <w:tcPr>
            <w:tcW w:type="dxa" w:w="1247"/>
          </w:tcPr>
          <w:p>
            <w:pPr>
              <w:jc w:val="left"/>
            </w:pPr>
            <w:r>
              <w:rPr>
                <w:rFonts w:ascii="Times New Roman" w:hAnsi="Times New Roman" w:eastAsia="Times New Roman"/>
                <w:b w:val="0"/>
                <w:i w:val="0"/>
                <w:sz w:val="22"/>
              </w:rPr>
              <w:t>оддий</w:t>
            </w:r>
          </w:p>
        </w:tc>
      </w:tr>
      <w:tr>
        <w:tc>
          <w:tcPr>
            <w:tcW w:type="dxa" w:w="567"/>
          </w:tcPr>
          <w:p>
            <w:pPr>
              <w:jc w:val="center"/>
            </w:pPr>
            <w:r>
              <w:rPr>
                <w:rFonts w:ascii="Times New Roman" w:hAnsi="Times New Roman" w:eastAsia="Times New Roman"/>
                <w:b w:val="0"/>
                <w:i w:val="0"/>
                <w:sz w:val="22"/>
              </w:rPr>
              <w:t>6</w:t>
            </w:r>
          </w:p>
        </w:tc>
        <w:tc>
          <w:tcPr>
            <w:tcW w:type="dxa" w:w="4195"/>
          </w:tcPr>
          <w:p>
            <w:pPr>
              <w:jc w:val="left"/>
            </w:pPr>
            <w:r>
              <w:rPr>
                <w:rFonts w:ascii="Times New Roman" w:hAnsi="Times New Roman" w:eastAsia="Times New Roman"/>
                <w:b w:val="0"/>
                <w:i w:val="0"/>
                <w:sz w:val="22"/>
              </w:rPr>
              <w:t>Кўрсатилиши зарур бўлган бошқа қўшимча хизматлар</w:t>
            </w:r>
          </w:p>
        </w:tc>
        <w:tc>
          <w:tcPr>
            <w:tcW w:type="dxa" w:w="1247"/>
          </w:tcPr>
          <w:p>
            <w:pPr>
              <w:jc w:val="left"/>
            </w:pPr>
            <w:r>
              <w:rPr>
                <w:rFonts w:ascii="Times New Roman" w:hAnsi="Times New Roman" w:eastAsia="Times New Roman"/>
                <w:b w:val="0"/>
                <w:i w:val="0"/>
                <w:sz w:val="22"/>
              </w:rPr>
              <w:t>4</w:t>
            </w:r>
          </w:p>
        </w:tc>
        <w:tc>
          <w:tcPr>
            <w:tcW w:type="dxa" w:w="1361"/>
          </w:tcPr>
          <w:p>
            <w:pPr>
              <w:jc w:val="left"/>
            </w:pPr>
            <w:r>
              <w:rPr>
                <w:rFonts w:ascii="Times New Roman" w:hAnsi="Times New Roman" w:eastAsia="Times New Roman"/>
                <w:b w:val="0"/>
                <w:i w:val="0"/>
                <w:sz w:val="22"/>
              </w:rPr>
              <w:t>48 соат</w:t>
            </w:r>
          </w:p>
        </w:tc>
        <w:tc>
          <w:tcPr>
            <w:tcW w:type="dxa" w:w="1247"/>
          </w:tcPr>
          <w:p>
            <w:pPr>
              <w:jc w:val="left"/>
            </w:pPr>
            <w:r>
              <w:rPr>
                <w:rFonts w:ascii="Times New Roman" w:hAnsi="Times New Roman" w:eastAsia="Times New Roman"/>
                <w:b w:val="0"/>
                <w:i w:val="0"/>
                <w:sz w:val="22"/>
              </w:rPr>
              <w:t>оддий</w:t>
            </w:r>
          </w:p>
        </w:tc>
      </w:tr>
      <w:tr>
        <w:tc>
          <w:tcPr>
            <w:tcW w:type="dxa" w:w="567"/>
          </w:tcPr>
          <w:p>
            <w:pPr>
              <w:jc w:val="center"/>
            </w:pPr>
            <w:r>
              <w:rPr>
                <w:rFonts w:ascii="Times New Roman" w:hAnsi="Times New Roman" w:eastAsia="Times New Roman"/>
                <w:b w:val="0"/>
                <w:i w:val="0"/>
                <w:sz w:val="22"/>
              </w:rPr>
            </w:r>
          </w:p>
        </w:tc>
        <w:tc>
          <w:tcPr>
            <w:tcW w:type="dxa" w:w="4195"/>
          </w:tcPr>
          <w:p>
            <w:pPr>
              <w:jc w:val="left"/>
            </w:pPr>
            <w:r>
              <w:rPr>
                <w:rFonts w:ascii="Times New Roman" w:hAnsi="Times New Roman" w:eastAsia="Times New Roman"/>
                <w:b w:val="0"/>
                <w:i w:val="0"/>
                <w:sz w:val="22"/>
              </w:rPr>
              <w:t>ЖАМИ</w:t>
            </w:r>
          </w:p>
        </w:tc>
        <w:tc>
          <w:tcPr>
            <w:tcW w:type="dxa" w:w="1247"/>
          </w:tcPr>
          <w:p>
            <w:pPr>
              <w:jc w:val="left"/>
            </w:pPr>
            <w:r>
              <w:rPr>
                <w:rFonts w:ascii="Times New Roman" w:hAnsi="Times New Roman" w:eastAsia="Times New Roman"/>
                <w:b w:val="0"/>
                <w:i w:val="0"/>
                <w:sz w:val="22"/>
              </w:rPr>
              <w:t>59</w:t>
            </w:r>
          </w:p>
        </w:tc>
        <w:tc>
          <w:tcPr>
            <w:tcW w:type="dxa" w:w="1361"/>
          </w:tcPr>
          <w:p>
            <w:pPr>
              <w:jc w:val="left"/>
            </w:pPr>
            <w:r>
              <w:rPr>
                <w:rFonts w:ascii="Times New Roman" w:hAnsi="Times New Roman" w:eastAsia="Times New Roman"/>
                <w:b w:val="0"/>
                <w:i w:val="0"/>
                <w:sz w:val="22"/>
              </w:rPr>
            </w:r>
          </w:p>
        </w:tc>
        <w:tc>
          <w:tcPr>
            <w:tcW w:type="dxa" w:w="1247"/>
          </w:tcPr>
          <w:p>
            <w:pPr>
              <w:jc w:val="left"/>
            </w:pPr>
            <w:r>
              <w:rPr>
                <w:rFonts w:ascii="Times New Roman" w:hAnsi="Times New Roman" w:eastAsia="Times New Roman"/>
                <w:b w:val="0"/>
                <w:i w:val="0"/>
                <w:sz w:val="22"/>
              </w:rPr>
            </w:r>
          </w:p>
        </w:tc>
      </w:tr>
    </w:tbl>
    <w:p>
      <w:pPr>
        <w:spacing w:after="120"/>
      </w:pPr>
    </w:p>
    <w:p>
      <w:pPr>
        <w:spacing w:before="0" w:after="120"/>
        <w:ind w:firstLine="709"/>
        <w:jc w:val="both"/>
      </w:pPr>
      <w:r>
        <w:rPr>
          <w:rFonts w:ascii="Times New Roman" w:hAnsi="Times New Roman" w:eastAsia="Times New Roman"/>
          <w:b w:val="0"/>
          <w:i w:val="0"/>
          <w:sz w:val="24"/>
        </w:rPr>
        <w:t>Каталог тизимга икки босқичли (хизмат тури → хизмат) кўринишда жойлаштирилган бўлиб, администратор томонидан ҳар бир хизматнинг номи, ижро муддати ва устуворлиги дастурий ўзгартиришсиз бошқарилади. Каталог янгиланганда илгари қабул қилинган мурожаатлар боғланиши сақланиб қолади.</w:t>
      </w:r>
    </w:p>
    <w:p>
      <w:pPr>
        <w:keepNext/>
        <w:spacing w:before="240" w:after="120"/>
        <w:jc w:val="left"/>
      </w:pPr>
      <w:r>
        <w:rPr>
          <w:rFonts w:ascii="Times New Roman" w:hAnsi="Times New Roman" w:eastAsia="Times New Roman"/>
          <w:b/>
          <w:i w:val="0"/>
          <w:sz w:val="26"/>
        </w:rPr>
        <w:t>3. Бажарилган ишлар</w:t>
      </w:r>
    </w:p>
    <w:p>
      <w:pPr>
        <w:keepNext/>
        <w:spacing w:before="120" w:after="80"/>
        <w:jc w:val="left"/>
      </w:pPr>
      <w:r>
        <w:rPr>
          <w:rFonts w:ascii="Times New Roman" w:hAnsi="Times New Roman" w:eastAsia="Times New Roman"/>
          <w:b/>
          <w:i w:val="0"/>
          <w:sz w:val="24"/>
        </w:rPr>
        <w:t>3.1. Талабаларни масофадан идентификация қилиш (HEMIS интеграцияси)</w:t>
      </w:r>
    </w:p>
    <w:p>
      <w:pPr>
        <w:spacing w:before="0" w:after="120"/>
        <w:ind w:firstLine="709"/>
        <w:jc w:val="both"/>
      </w:pPr>
      <w:r>
        <w:rPr>
          <w:rFonts w:ascii="Times New Roman" w:hAnsi="Times New Roman" w:eastAsia="Times New Roman"/>
          <w:b w:val="0"/>
          <w:i w:val="0"/>
          <w:sz w:val="24"/>
        </w:rPr>
        <w:t>Талаба тизимга алоҳида рўйхатдан ўтмайди — авторизация университетнинг HEMIS ахборот тизими орқали амалга оширилади. Талаба HEMIS логин ва пароли билан кирганида, унинг шахсий ва ўқув маълумотлари (Ф.И.Ш., факультет, гуруҳ, йўналиш, курс) автоматик равишда тизимга юкланади ва профилда акс этади. Бу маълумотларнинг қўлда киритилиши ва улардаги хатоликлар эҳтимолини бартараф этади.</w:t>
      </w:r>
    </w:p>
    <w:p>
      <w:pPr>
        <w:keepNext/>
        <w:spacing w:before="120" w:after="80"/>
        <w:jc w:val="left"/>
      </w:pPr>
      <w:r>
        <w:rPr>
          <w:rFonts w:ascii="Times New Roman" w:hAnsi="Times New Roman" w:eastAsia="Times New Roman"/>
          <w:b/>
          <w:i w:val="0"/>
          <w:sz w:val="24"/>
        </w:rPr>
        <w:t>3.2. Мурожаатнинг автоматик йўналтирилиши</w:t>
      </w:r>
    </w:p>
    <w:p>
      <w:pPr>
        <w:spacing w:before="0" w:after="120"/>
        <w:ind w:firstLine="709"/>
        <w:jc w:val="both"/>
      </w:pPr>
      <w:r>
        <w:rPr>
          <w:rFonts w:ascii="Times New Roman" w:hAnsi="Times New Roman" w:eastAsia="Times New Roman"/>
          <w:b w:val="0"/>
          <w:i w:val="0"/>
          <w:sz w:val="24"/>
        </w:rPr>
        <w:t>Талаба мурожаат юборишда масъул ходимни ўзи танламайди. Тизим талабанинг факультетини аниқлаб, мурожаатни ўша факультетга бириктирилган Регистратор офиси ходимига автоматик тарзда бириктиради. Агар факультетга бир нечта ходим бириктирилган бўлса, мурожаат очиқ мурожаатлари энг кам бўлган ходимга юборилади — бу иш юкламасининг ходимлар ўртасида мутаносиб тақсимланишини таъминлайди. Мурожаат яратилиши билан унга ягона кузатув рақами (tracking рақами) берилади ва хизмат турига қараб ижро муддати ҳисоблаб чиқилади.</w:t>
      </w:r>
    </w:p>
    <w:p>
      <w:pPr>
        <w:keepNext/>
        <w:spacing w:before="120" w:after="80"/>
        <w:jc w:val="left"/>
      </w:pPr>
      <w:r>
        <w:rPr>
          <w:rFonts w:ascii="Times New Roman" w:hAnsi="Times New Roman" w:eastAsia="Times New Roman"/>
          <w:b/>
          <w:i w:val="0"/>
          <w:sz w:val="24"/>
        </w:rPr>
        <w:t>3.3. Мурожаатнинг ҳаётий цикли ва ҳолатлари</w:t>
      </w:r>
    </w:p>
    <w:p>
      <w:pPr>
        <w:spacing w:before="0" w:after="120"/>
        <w:ind w:firstLine="709"/>
        <w:jc w:val="both"/>
      </w:pPr>
      <w:r>
        <w:rPr>
          <w:rFonts w:ascii="Times New Roman" w:hAnsi="Times New Roman" w:eastAsia="Times New Roman"/>
          <w:b w:val="0"/>
          <w:i w:val="0"/>
          <w:sz w:val="24"/>
        </w:rPr>
        <w:t>Ҳар бир мурожаат олти хил ҳолат орқали ҳаракатланади: “янги”, “қабул қилинган”, “ижрода”, “бажарилган”, “рад этилган” ва “қайта ишлашга қайтарилган”. Ҳолатлар ўртасидаги ўтишлар тизим томонидан назорат қилинади — ходим фақат ўз ваколатидаги ўтишни амалга ошира олади. Мурожаат бўйича ёзишмалар, талабага кўринадиган изоҳлар ва фақат ходимлар учун мўлжалланган хизматий қайдлар алоҳида юритилади.</w:t>
      </w:r>
    </w:p>
    <w:p>
      <w:pPr>
        <w:keepNext/>
        <w:spacing w:before="120" w:after="80"/>
        <w:jc w:val="left"/>
      </w:pPr>
      <w:r>
        <w:rPr>
          <w:rFonts w:ascii="Times New Roman" w:hAnsi="Times New Roman" w:eastAsia="Times New Roman"/>
          <w:b/>
          <w:i w:val="0"/>
          <w:sz w:val="24"/>
        </w:rPr>
        <w:t>3.4. Ҳужжатлар билан ишлаш</w:t>
      </w:r>
    </w:p>
    <w:p>
      <w:pPr>
        <w:spacing w:before="0" w:after="120"/>
        <w:ind w:firstLine="709"/>
        <w:jc w:val="both"/>
      </w:pPr>
      <w:r>
        <w:rPr>
          <w:rFonts w:ascii="Times New Roman" w:hAnsi="Times New Roman" w:eastAsia="Times New Roman"/>
          <w:b w:val="0"/>
          <w:i w:val="0"/>
          <w:sz w:val="24"/>
        </w:rPr>
        <w:t>Талаба мурожаатга электрон ҳужжатларни (PDF, DOC, DOCX, JPG, PNG, WEBP) илова қилиши, ходим эса тайёр натижани файл кўринишида юклаши мумкин. Юкланадиган файллар хавфсизлик талабларидан келиб чиққан ҳолда мазмуни бўйича текширилади — файл турининг ҳақиқийлиги унинг ички тузилиши асосида аниқланади, зарарли файлларни юклаш имконияти чекланган.</w:t>
      </w:r>
    </w:p>
    <w:p>
      <w:pPr>
        <w:keepNext/>
        <w:spacing w:before="120" w:after="80"/>
        <w:jc w:val="left"/>
      </w:pPr>
      <w:r>
        <w:rPr>
          <w:rFonts w:ascii="Times New Roman" w:hAnsi="Times New Roman" w:eastAsia="Times New Roman"/>
          <w:b/>
          <w:i w:val="0"/>
          <w:sz w:val="24"/>
        </w:rPr>
        <w:t>3.5. Ижро муддатлари (SLA) устидан автоматик назорат</w:t>
      </w:r>
    </w:p>
    <w:p>
      <w:pPr>
        <w:spacing w:before="0" w:after="120"/>
        <w:ind w:firstLine="709"/>
        <w:jc w:val="both"/>
      </w:pPr>
      <w:r>
        <w:rPr>
          <w:rFonts w:ascii="Times New Roman" w:hAnsi="Times New Roman" w:eastAsia="Times New Roman"/>
          <w:b w:val="0"/>
          <w:i w:val="0"/>
          <w:sz w:val="24"/>
        </w:rPr>
        <w:t>Тизим очиқ мурожаатларни доимий равишда таҳлил қилиб боради. Ижро муддати тугашига оз вақт қолганда масъул ходимга огоҳлантирувчи хабарнома юборилади, муддат ўтиб кетган тақдирда эса ходим билан бир қаторда Регистратор офиси мутахассислари ҳам хабардор қилинади. Бу мурожаатларнинг эътибордан четда қолиши ва муддати ўтиб кетишининг олдини олади.</w:t>
      </w:r>
    </w:p>
    <w:p>
      <w:pPr>
        <w:keepNext/>
        <w:spacing w:before="120" w:after="80"/>
        <w:jc w:val="left"/>
      </w:pPr>
      <w:r>
        <w:rPr>
          <w:rFonts w:ascii="Times New Roman" w:hAnsi="Times New Roman" w:eastAsia="Times New Roman"/>
          <w:b/>
          <w:i w:val="0"/>
          <w:sz w:val="24"/>
        </w:rPr>
        <w:t>3.6. Хабарномалар тизими</w:t>
      </w:r>
    </w:p>
    <w:p>
      <w:pPr>
        <w:spacing w:before="0" w:after="120"/>
        <w:ind w:firstLine="709"/>
        <w:jc w:val="both"/>
      </w:pPr>
      <w:r>
        <w:rPr>
          <w:rFonts w:ascii="Times New Roman" w:hAnsi="Times New Roman" w:eastAsia="Times New Roman"/>
          <w:b w:val="0"/>
          <w:i w:val="0"/>
          <w:sz w:val="24"/>
        </w:rPr>
        <w:t>Мурожаат яратилиши, ходимга бириктирилиши, ҳолати ўзгариши ва янги ёзишма келиб тушиши тўғрисида фойдаланувчилар тизим ичида ҳамда электрон почта орқали хабардор қилинади. Мурожаат ҳолатидаги ўзгаришлар веб-сокет технологияси ёрдамида саҳифани янгилашсиз, реал вақт режимида акс этади.</w:t>
      </w:r>
    </w:p>
    <w:p>
      <w:pPr>
        <w:keepNext/>
        <w:spacing w:before="120" w:after="80"/>
        <w:jc w:val="left"/>
      </w:pPr>
      <w:r>
        <w:rPr>
          <w:rFonts w:ascii="Times New Roman" w:hAnsi="Times New Roman" w:eastAsia="Times New Roman"/>
          <w:b/>
          <w:i w:val="0"/>
          <w:sz w:val="24"/>
        </w:rPr>
        <w:t>3.7. Фойдаланувчи ролларининг чекланиши</w:t>
      </w:r>
    </w:p>
    <w:p>
      <w:pPr>
        <w:spacing w:before="0" w:after="60"/>
        <w:ind w:firstLine="709"/>
        <w:jc w:val="both"/>
      </w:pPr>
      <w:r>
        <w:rPr>
          <w:rFonts w:ascii="Times New Roman" w:hAnsi="Times New Roman" w:eastAsia="Times New Roman"/>
          <w:b w:val="0"/>
          <w:i w:val="0"/>
          <w:sz w:val="24"/>
        </w:rPr>
        <w:t>Тизимда ваколатлар аниқ чегараланган беш роль жорий этилган:</w:t>
      </w:r>
    </w:p>
    <w:tbl>
      <w:tblPr>
        <w:tblStyle w:val="TableGrid"/>
        <w:tblW w:type="auto" w:w="0"/>
        <w:jc w:val="center"/>
        <w:tblLook w:firstColumn="1" w:firstRow="1" w:lastColumn="0" w:lastRow="0" w:noHBand="0" w:noVBand="1" w:val="04A0"/>
      </w:tblPr>
      <w:tblGrid>
        <w:gridCol w:w="4677"/>
        <w:gridCol w:w="4677"/>
      </w:tblGrid>
      <w:tr>
        <w:tc>
          <w:tcPr>
            <w:tcW w:type="dxa" w:w="2041"/>
          </w:tcPr>
          <w:p>
            <w:pPr>
              <w:jc w:val="center"/>
            </w:pPr>
            <w:r>
              <w:rPr>
                <w:rFonts w:ascii="Times New Roman" w:hAnsi="Times New Roman" w:eastAsia="Times New Roman"/>
                <w:b/>
                <w:i w:val="0"/>
                <w:sz w:val="22"/>
              </w:rPr>
              <w:t>Роль</w:t>
            </w:r>
          </w:p>
        </w:tc>
        <w:tc>
          <w:tcPr>
            <w:tcW w:type="dxa" w:w="6576"/>
          </w:tcPr>
          <w:p>
            <w:pPr>
              <w:jc w:val="center"/>
            </w:pPr>
            <w:r>
              <w:rPr>
                <w:rFonts w:ascii="Times New Roman" w:hAnsi="Times New Roman" w:eastAsia="Times New Roman"/>
                <w:b/>
                <w:i w:val="0"/>
                <w:sz w:val="22"/>
              </w:rPr>
              <w:t>Ваколатлари</w:t>
            </w:r>
          </w:p>
        </w:tc>
      </w:tr>
      <w:tr>
        <w:tc>
          <w:tcPr>
            <w:tcW w:type="dxa" w:w="2041"/>
          </w:tcPr>
          <w:p>
            <w:pPr>
              <w:jc w:val="left"/>
            </w:pPr>
            <w:r>
              <w:rPr>
                <w:rFonts w:ascii="Times New Roman" w:hAnsi="Times New Roman" w:eastAsia="Times New Roman"/>
                <w:b w:val="0"/>
                <w:i w:val="0"/>
                <w:sz w:val="22"/>
              </w:rPr>
              <w:t>Талаба</w:t>
            </w:r>
          </w:p>
        </w:tc>
        <w:tc>
          <w:tcPr>
            <w:tcW w:type="dxa" w:w="6576"/>
          </w:tcPr>
          <w:p>
            <w:pPr>
              <w:jc w:val="left"/>
            </w:pPr>
            <w:r>
              <w:rPr>
                <w:rFonts w:ascii="Times New Roman" w:hAnsi="Times New Roman" w:eastAsia="Times New Roman"/>
                <w:b w:val="0"/>
                <w:i w:val="0"/>
                <w:sz w:val="22"/>
              </w:rPr>
              <w:t>мурожаат яратиш, фақат ўз мурожаатларини кўриш ва ёзишма олиб бориш</w:t>
            </w:r>
          </w:p>
        </w:tc>
      </w:tr>
      <w:tr>
        <w:tc>
          <w:tcPr>
            <w:tcW w:type="dxa" w:w="2041"/>
          </w:tcPr>
          <w:p>
            <w:pPr>
              <w:jc w:val="left"/>
            </w:pPr>
            <w:r>
              <w:rPr>
                <w:rFonts w:ascii="Times New Roman" w:hAnsi="Times New Roman" w:eastAsia="Times New Roman"/>
                <w:b w:val="0"/>
                <w:i w:val="0"/>
                <w:sz w:val="22"/>
              </w:rPr>
              <w:t>Ходим</w:t>
            </w:r>
          </w:p>
        </w:tc>
        <w:tc>
          <w:tcPr>
            <w:tcW w:type="dxa" w:w="6576"/>
          </w:tcPr>
          <w:p>
            <w:pPr>
              <w:jc w:val="left"/>
            </w:pPr>
            <w:r>
              <w:rPr>
                <w:rFonts w:ascii="Times New Roman" w:hAnsi="Times New Roman" w:eastAsia="Times New Roman"/>
                <w:b w:val="0"/>
                <w:i w:val="0"/>
                <w:sz w:val="22"/>
              </w:rPr>
              <w:t>ўзига бириктирилган мурожаатлар билан ишлаш, хизматий қайдлар киритиш</w:t>
            </w:r>
          </w:p>
        </w:tc>
      </w:tr>
      <w:tr>
        <w:tc>
          <w:tcPr>
            <w:tcW w:type="dxa" w:w="2041"/>
          </w:tcPr>
          <w:p>
            <w:pPr>
              <w:jc w:val="left"/>
            </w:pPr>
            <w:r>
              <w:rPr>
                <w:rFonts w:ascii="Times New Roman" w:hAnsi="Times New Roman" w:eastAsia="Times New Roman"/>
                <w:b w:val="0"/>
                <w:i w:val="0"/>
                <w:sz w:val="22"/>
              </w:rPr>
              <w:t>Регистратор</w:t>
            </w:r>
          </w:p>
        </w:tc>
        <w:tc>
          <w:tcPr>
            <w:tcW w:type="dxa" w:w="6576"/>
          </w:tcPr>
          <w:p>
            <w:pPr>
              <w:jc w:val="left"/>
            </w:pPr>
            <w:r>
              <w:rPr>
                <w:rFonts w:ascii="Times New Roman" w:hAnsi="Times New Roman" w:eastAsia="Times New Roman"/>
                <w:b w:val="0"/>
                <w:i w:val="0"/>
                <w:sz w:val="22"/>
              </w:rPr>
              <w:t>барча мурожаатларни кўриш, бириктириш, қайтариш, ҳолатини ўзгартириш</w:t>
            </w:r>
          </w:p>
        </w:tc>
      </w:tr>
      <w:tr>
        <w:tc>
          <w:tcPr>
            <w:tcW w:type="dxa" w:w="2041"/>
          </w:tcPr>
          <w:p>
            <w:pPr>
              <w:jc w:val="left"/>
            </w:pPr>
            <w:r>
              <w:rPr>
                <w:rFonts w:ascii="Times New Roman" w:hAnsi="Times New Roman" w:eastAsia="Times New Roman"/>
                <w:b w:val="0"/>
                <w:i w:val="0"/>
                <w:sz w:val="22"/>
              </w:rPr>
              <w:t>Администратор</w:t>
            </w:r>
          </w:p>
        </w:tc>
        <w:tc>
          <w:tcPr>
            <w:tcW w:type="dxa" w:w="6576"/>
          </w:tcPr>
          <w:p>
            <w:pPr>
              <w:jc w:val="left"/>
            </w:pPr>
            <w:r>
              <w:rPr>
                <w:rFonts w:ascii="Times New Roman" w:hAnsi="Times New Roman" w:eastAsia="Times New Roman"/>
                <w:b w:val="0"/>
                <w:i w:val="0"/>
                <w:sz w:val="22"/>
              </w:rPr>
              <w:t>барча ваколатлар, шунингдек фойдаланувчилар ва каталогларни бошқариш</w:t>
            </w:r>
          </w:p>
        </w:tc>
      </w:tr>
      <w:tr>
        <w:tc>
          <w:tcPr>
            <w:tcW w:type="dxa" w:w="2041"/>
          </w:tcPr>
          <w:p>
            <w:pPr>
              <w:jc w:val="left"/>
            </w:pPr>
            <w:r>
              <w:rPr>
                <w:rFonts w:ascii="Times New Roman" w:hAnsi="Times New Roman" w:eastAsia="Times New Roman"/>
                <w:b w:val="0"/>
                <w:i w:val="0"/>
                <w:sz w:val="22"/>
              </w:rPr>
              <w:t>Раҳбарият</w:t>
            </w:r>
          </w:p>
        </w:tc>
        <w:tc>
          <w:tcPr>
            <w:tcW w:type="dxa" w:w="6576"/>
          </w:tcPr>
          <w:p>
            <w:pPr>
              <w:jc w:val="left"/>
            </w:pPr>
            <w:r>
              <w:rPr>
                <w:rFonts w:ascii="Times New Roman" w:hAnsi="Times New Roman" w:eastAsia="Times New Roman"/>
                <w:b w:val="0"/>
                <w:i w:val="0"/>
                <w:sz w:val="22"/>
              </w:rPr>
              <w:t>барча мурожаатлар, аудит ва ҳисоботларни кўриш (фақат ўқиш ҳуқуқи)</w:t>
            </w:r>
          </w:p>
        </w:tc>
      </w:tr>
    </w:tbl>
    <w:p>
      <w:pPr>
        <w:spacing w:after="120"/>
      </w:pPr>
    </w:p>
    <w:p>
      <w:pPr>
        <w:spacing w:before="0" w:after="120"/>
        <w:ind w:firstLine="709"/>
        <w:jc w:val="both"/>
      </w:pPr>
      <w:r>
        <w:rPr>
          <w:rFonts w:ascii="Times New Roman" w:hAnsi="Times New Roman" w:eastAsia="Times New Roman"/>
          <w:b w:val="0"/>
          <w:i w:val="0"/>
          <w:sz w:val="24"/>
        </w:rPr>
        <w:t>Ваколатлар чекланиши сервер томонида ҳам, интерфейс даражасида ҳам таъминланган: фойдаланувчи ўз ролига тегишли бўлмаган маълумотга мурожаат қила олмайди.</w:t>
      </w:r>
    </w:p>
    <w:p>
      <w:pPr>
        <w:keepNext/>
        <w:spacing w:before="120" w:after="80"/>
        <w:jc w:val="left"/>
      </w:pPr>
      <w:r>
        <w:rPr>
          <w:rFonts w:ascii="Times New Roman" w:hAnsi="Times New Roman" w:eastAsia="Times New Roman"/>
          <w:b/>
          <w:i w:val="0"/>
          <w:sz w:val="24"/>
        </w:rPr>
        <w:t>3.8. Аудит ва шаффофлик</w:t>
      </w:r>
    </w:p>
    <w:p>
      <w:pPr>
        <w:spacing w:before="0" w:after="120"/>
        <w:ind w:firstLine="709"/>
        <w:jc w:val="both"/>
      </w:pPr>
      <w:r>
        <w:rPr>
          <w:rFonts w:ascii="Times New Roman" w:hAnsi="Times New Roman" w:eastAsia="Times New Roman"/>
          <w:b w:val="0"/>
          <w:i w:val="0"/>
          <w:sz w:val="24"/>
        </w:rPr>
        <w:t>Тизимда амалга оширилган ҳар бир аҳамиятли ҳаракат — мурожаатнинг яратилиши, бириктирилиши, ҳолатининг ўзгариши, ҳужжат юкланиши, фойдаланувчи маълумотларининг таҳрирланиши — ким томонидан ва қачон бажарилгани билан бирга қайд этиб борилади. Аудит журнали администратор ва раҳбарият учун алоҳида бўлимда тақдим этилган.</w:t>
      </w:r>
    </w:p>
    <w:p>
      <w:pPr>
        <w:keepNext/>
        <w:spacing w:before="120" w:after="80"/>
        <w:jc w:val="left"/>
      </w:pPr>
      <w:r>
        <w:rPr>
          <w:rFonts w:ascii="Times New Roman" w:hAnsi="Times New Roman" w:eastAsia="Times New Roman"/>
          <w:b/>
          <w:i w:val="0"/>
          <w:sz w:val="24"/>
        </w:rPr>
        <w:t>3.9. Таҳлилий панель ва ҳисоботлар</w:t>
      </w:r>
    </w:p>
    <w:p>
      <w:pPr>
        <w:spacing w:before="0" w:after="120"/>
        <w:ind w:firstLine="709"/>
        <w:jc w:val="both"/>
      </w:pPr>
      <w:r>
        <w:rPr>
          <w:rFonts w:ascii="Times New Roman" w:hAnsi="Times New Roman" w:eastAsia="Times New Roman"/>
          <w:b w:val="0"/>
          <w:i w:val="0"/>
          <w:sz w:val="24"/>
        </w:rPr>
        <w:t>Ҳар бир фойдаланувчи ўз ролига мос таҳлилий панелга эга. Панелда мурожаатларнинг умумий сони, ҳолатлар кесимидаги тақсимоти, муддати ўтган ва муддати яқинлашиб қолган мурожаатлар сони, кун давомида бажарилган ҳамда ҳафта давомида қабул қилинган мурожаатлар кўрсаткичлари акс этади. Бу раҳбариятга хизмат кўрсатиш сифатини ва ходимлар фаолиятини объектив баҳолаш имконини беради.</w:t>
      </w:r>
    </w:p>
    <w:p>
      <w:pPr>
        <w:keepNext/>
        <w:spacing w:before="120" w:after="80"/>
        <w:jc w:val="left"/>
      </w:pPr>
      <w:r>
        <w:rPr>
          <w:rFonts w:ascii="Times New Roman" w:hAnsi="Times New Roman" w:eastAsia="Times New Roman"/>
          <w:b/>
          <w:i w:val="0"/>
          <w:sz w:val="24"/>
        </w:rPr>
        <w:t>3.10. Маъмурий бошқарув модули</w:t>
      </w:r>
    </w:p>
    <w:p>
      <w:pPr>
        <w:spacing w:before="0" w:after="120"/>
        <w:ind w:firstLine="709"/>
        <w:jc w:val="both"/>
      </w:pPr>
      <w:r>
        <w:rPr>
          <w:rFonts w:ascii="Times New Roman" w:hAnsi="Times New Roman" w:eastAsia="Times New Roman"/>
          <w:b w:val="0"/>
          <w:i w:val="0"/>
          <w:sz w:val="24"/>
        </w:rPr>
        <w:t>Администратор учун алоҳида бошқарув бўлими ишлаб чиқилган: ходимлар ва талабалар рўйхатини юритиш, ходимларни факультетларга бириктириш, хизматлар каталогини ва ижро муддатларини таҳрирлаш, факультет, кафедра ва гуруҳлар маълумотномасини бошқариш, аудит журналини кўриш. Барча ўзгаришлар дастурий аралашувсиз, интерфейс орқали амалга оширилади.</w:t>
      </w:r>
    </w:p>
    <w:p>
      <w:pPr>
        <w:keepNext/>
        <w:spacing w:before="120" w:after="80"/>
        <w:jc w:val="left"/>
      </w:pPr>
      <w:r>
        <w:rPr>
          <w:rFonts w:ascii="Times New Roman" w:hAnsi="Times New Roman" w:eastAsia="Times New Roman"/>
          <w:b/>
          <w:i w:val="0"/>
          <w:sz w:val="24"/>
        </w:rPr>
        <w:t>3.11. Икки тилли интерфейс</w:t>
      </w:r>
    </w:p>
    <w:p>
      <w:pPr>
        <w:spacing w:before="0" w:after="120"/>
        <w:ind w:firstLine="709"/>
        <w:jc w:val="both"/>
      </w:pPr>
      <w:r>
        <w:rPr>
          <w:rFonts w:ascii="Times New Roman" w:hAnsi="Times New Roman" w:eastAsia="Times New Roman"/>
          <w:b w:val="0"/>
          <w:i w:val="0"/>
          <w:sz w:val="24"/>
        </w:rPr>
        <w:t>Тизим интерфейси ўзбек ва рус тилларида тўлиқ таржима қилинган; фойдаланувчи тилни исталган вақтда алмаштириши мумкин. Таржима файлларининг тўлиқлиги автоматлаштирилган текширув орқали назорат қилинади.</w:t>
      </w:r>
    </w:p>
    <w:p>
      <w:pPr>
        <w:keepNext/>
        <w:spacing w:before="120" w:after="80"/>
        <w:jc w:val="left"/>
      </w:pPr>
      <w:r>
        <w:rPr>
          <w:rFonts w:ascii="Times New Roman" w:hAnsi="Times New Roman" w:eastAsia="Times New Roman"/>
          <w:b/>
          <w:i w:val="0"/>
          <w:sz w:val="24"/>
        </w:rPr>
        <w:t>3.12. Ахборот хавфсизлиги чоралари</w:t>
      </w:r>
    </w:p>
    <w:p>
      <w:pPr>
        <w:spacing w:before="0" w:after="60"/>
        <w:ind w:firstLine="709"/>
        <w:jc w:val="both"/>
      </w:pPr>
      <w:r>
        <w:rPr>
          <w:rFonts w:ascii="Times New Roman" w:hAnsi="Times New Roman" w:eastAsia="Times New Roman"/>
          <w:b w:val="0"/>
          <w:i w:val="0"/>
          <w:sz w:val="24"/>
        </w:rPr>
        <w:t>Тизимда қуйидаги ҳимоя механизмлари жорий этилган:</w:t>
      </w:r>
    </w:p>
    <w:p>
      <w:pPr>
        <w:spacing w:after="60"/>
        <w:ind w:left="425"/>
        <w:jc w:val="both"/>
      </w:pPr>
      <w:r>
        <w:rPr>
          <w:rFonts w:ascii="Times New Roman" w:hAnsi="Times New Roman" w:eastAsia="Times New Roman"/>
          <w:b w:val="0"/>
          <w:i w:val="0"/>
          <w:sz w:val="24"/>
        </w:rPr>
        <w:t>– фойдаланувчи паролларини қайта тиклаб бўлмайдиган криптографик усулда сақлаш;</w:t>
      </w:r>
    </w:p>
    <w:p>
      <w:pPr>
        <w:spacing w:after="60"/>
        <w:ind w:left="425"/>
        <w:jc w:val="both"/>
      </w:pPr>
      <w:r>
        <w:rPr>
          <w:rFonts w:ascii="Times New Roman" w:hAnsi="Times New Roman" w:eastAsia="Times New Roman"/>
          <w:b w:val="0"/>
          <w:i w:val="0"/>
          <w:sz w:val="24"/>
        </w:rPr>
        <w:t>– чекланган амал муддатига эга кириш калитлари ва сеансни узоқдан тугатиш имконияти;</w:t>
      </w:r>
    </w:p>
    <w:p>
      <w:pPr>
        <w:spacing w:after="60"/>
        <w:ind w:left="425"/>
        <w:jc w:val="both"/>
      </w:pPr>
      <w:r>
        <w:rPr>
          <w:rFonts w:ascii="Times New Roman" w:hAnsi="Times New Roman" w:eastAsia="Times New Roman"/>
          <w:b w:val="0"/>
          <w:i w:val="0"/>
          <w:sz w:val="24"/>
        </w:rPr>
        <w:t>– парол танлаш йўли билан тизимга киришга уринишларни аниқлаш ва блоклаш;</w:t>
      </w:r>
    </w:p>
    <w:p>
      <w:pPr>
        <w:spacing w:after="60"/>
        <w:ind w:left="425"/>
        <w:jc w:val="both"/>
      </w:pPr>
      <w:r>
        <w:rPr>
          <w:rFonts w:ascii="Times New Roman" w:hAnsi="Times New Roman" w:eastAsia="Times New Roman"/>
          <w:b w:val="0"/>
          <w:i w:val="0"/>
          <w:sz w:val="24"/>
        </w:rPr>
        <w:t>– сўровлар сонини чеклаш орқали тизимга ортиқча юклама тушишининг олдини олиш;</w:t>
      </w:r>
    </w:p>
    <w:p>
      <w:pPr>
        <w:spacing w:after="60"/>
        <w:ind w:left="425"/>
        <w:jc w:val="both"/>
      </w:pPr>
      <w:r>
        <w:rPr>
          <w:rFonts w:ascii="Times New Roman" w:hAnsi="Times New Roman" w:eastAsia="Times New Roman"/>
          <w:b w:val="0"/>
          <w:i w:val="0"/>
          <w:sz w:val="24"/>
        </w:rPr>
        <w:t>– юкланадиган файлларнинг ҳақиқий турини мазмуни бўйича текшириш;</w:t>
      </w:r>
    </w:p>
    <w:p>
      <w:pPr>
        <w:spacing w:after="60"/>
        <w:ind w:left="425"/>
        <w:jc w:val="both"/>
      </w:pPr>
      <w:r>
        <w:rPr>
          <w:rFonts w:ascii="Times New Roman" w:hAnsi="Times New Roman" w:eastAsia="Times New Roman"/>
          <w:b w:val="0"/>
          <w:i w:val="0"/>
          <w:sz w:val="24"/>
        </w:rPr>
        <w:t>– браузер даражасидаги ҳимоя сарлавҳалари ва HTTPS протоколига мажбурий ўтиш.</w:t>
      </w:r>
    </w:p>
    <w:p>
      <w:pPr>
        <w:keepNext/>
        <w:spacing w:before="240" w:after="120"/>
        <w:jc w:val="left"/>
      </w:pPr>
      <w:r>
        <w:rPr>
          <w:rFonts w:ascii="Times New Roman" w:hAnsi="Times New Roman" w:eastAsia="Times New Roman"/>
          <w:b/>
          <w:i w:val="0"/>
          <w:sz w:val="26"/>
        </w:rPr>
        <w:t>4. Техник ечим ва жорий этиш</w:t>
      </w:r>
    </w:p>
    <w:p>
      <w:pPr>
        <w:spacing w:before="0" w:after="80"/>
        <w:ind w:firstLine="709"/>
        <w:jc w:val="both"/>
      </w:pPr>
      <w:r>
        <w:rPr>
          <w:rFonts w:ascii="Times New Roman" w:hAnsi="Times New Roman" w:eastAsia="Times New Roman"/>
          <w:b w:val="0"/>
          <w:i w:val="0"/>
          <w:sz w:val="24"/>
        </w:rPr>
        <w:t>Тизим замонавий очиқ технологиялар асосида, университетнинг ўз серверида жойлаштиришга мўлжалланган ҳолда ишлаб чиқилган:</w:t>
      </w:r>
    </w:p>
    <w:tbl>
      <w:tblPr>
        <w:tblStyle w:val="TableGrid"/>
        <w:tblW w:type="auto" w:w="0"/>
        <w:jc w:val="center"/>
        <w:tblLook w:firstColumn="1" w:firstRow="1" w:lastColumn="0" w:lastRow="0" w:noHBand="0" w:noVBand="1" w:val="04A0"/>
      </w:tblPr>
      <w:tblGrid>
        <w:gridCol w:w="4677"/>
        <w:gridCol w:w="4677"/>
      </w:tblGrid>
      <w:tr>
        <w:tc>
          <w:tcPr>
            <w:tcW w:type="dxa" w:w="2835"/>
          </w:tcPr>
          <w:p>
            <w:pPr>
              <w:jc w:val="center"/>
            </w:pPr>
            <w:r>
              <w:rPr>
                <w:rFonts w:ascii="Times New Roman" w:hAnsi="Times New Roman" w:eastAsia="Times New Roman"/>
                <w:b/>
                <w:i w:val="0"/>
                <w:sz w:val="22"/>
              </w:rPr>
              <w:t>Компонент</w:t>
            </w:r>
          </w:p>
        </w:tc>
        <w:tc>
          <w:tcPr>
            <w:tcW w:type="dxa" w:w="5783"/>
          </w:tcPr>
          <w:p>
            <w:pPr>
              <w:jc w:val="center"/>
            </w:pPr>
            <w:r>
              <w:rPr>
                <w:rFonts w:ascii="Times New Roman" w:hAnsi="Times New Roman" w:eastAsia="Times New Roman"/>
                <w:b/>
                <w:i w:val="0"/>
                <w:sz w:val="22"/>
              </w:rPr>
              <w:t>Қўлланилган технология</w:t>
            </w:r>
          </w:p>
        </w:tc>
      </w:tr>
      <w:tr>
        <w:tc>
          <w:tcPr>
            <w:tcW w:type="dxa" w:w="2835"/>
          </w:tcPr>
          <w:p>
            <w:pPr>
              <w:jc w:val="left"/>
            </w:pPr>
            <w:r>
              <w:rPr>
                <w:rFonts w:ascii="Times New Roman" w:hAnsi="Times New Roman" w:eastAsia="Times New Roman"/>
                <w:b w:val="0"/>
                <w:i w:val="0"/>
                <w:sz w:val="22"/>
              </w:rPr>
              <w:t>Сервер қисми</w:t>
            </w:r>
          </w:p>
        </w:tc>
        <w:tc>
          <w:tcPr>
            <w:tcW w:type="dxa" w:w="5783"/>
          </w:tcPr>
          <w:p>
            <w:pPr>
              <w:jc w:val="left"/>
            </w:pPr>
            <w:r>
              <w:rPr>
                <w:rFonts w:ascii="Times New Roman" w:hAnsi="Times New Roman" w:eastAsia="Times New Roman"/>
                <w:b w:val="0"/>
                <w:i w:val="0"/>
                <w:sz w:val="22"/>
              </w:rPr>
              <w:t>Python (FastAPI), SQLAlchemy, Alembic</w:t>
            </w:r>
          </w:p>
        </w:tc>
      </w:tr>
      <w:tr>
        <w:tc>
          <w:tcPr>
            <w:tcW w:type="dxa" w:w="2835"/>
          </w:tcPr>
          <w:p>
            <w:pPr>
              <w:jc w:val="left"/>
            </w:pPr>
            <w:r>
              <w:rPr>
                <w:rFonts w:ascii="Times New Roman" w:hAnsi="Times New Roman" w:eastAsia="Times New Roman"/>
                <w:b w:val="0"/>
                <w:i w:val="0"/>
                <w:sz w:val="22"/>
              </w:rPr>
              <w:t>Маълумотлар базаси</w:t>
            </w:r>
          </w:p>
        </w:tc>
        <w:tc>
          <w:tcPr>
            <w:tcW w:type="dxa" w:w="5783"/>
          </w:tcPr>
          <w:p>
            <w:pPr>
              <w:jc w:val="left"/>
            </w:pPr>
            <w:r>
              <w:rPr>
                <w:rFonts w:ascii="Times New Roman" w:hAnsi="Times New Roman" w:eastAsia="Times New Roman"/>
                <w:b w:val="0"/>
                <w:i w:val="0"/>
                <w:sz w:val="22"/>
              </w:rPr>
              <w:t>PostgreSQL 16</w:t>
            </w:r>
          </w:p>
        </w:tc>
      </w:tr>
      <w:tr>
        <w:tc>
          <w:tcPr>
            <w:tcW w:type="dxa" w:w="2835"/>
          </w:tcPr>
          <w:p>
            <w:pPr>
              <w:jc w:val="left"/>
            </w:pPr>
            <w:r>
              <w:rPr>
                <w:rFonts w:ascii="Times New Roman" w:hAnsi="Times New Roman" w:eastAsia="Times New Roman"/>
                <w:b w:val="0"/>
                <w:i w:val="0"/>
                <w:sz w:val="22"/>
              </w:rPr>
              <w:t>Кэш ва сеанслар</w:t>
            </w:r>
          </w:p>
        </w:tc>
        <w:tc>
          <w:tcPr>
            <w:tcW w:type="dxa" w:w="5783"/>
          </w:tcPr>
          <w:p>
            <w:pPr>
              <w:jc w:val="left"/>
            </w:pPr>
            <w:r>
              <w:rPr>
                <w:rFonts w:ascii="Times New Roman" w:hAnsi="Times New Roman" w:eastAsia="Times New Roman"/>
                <w:b w:val="0"/>
                <w:i w:val="0"/>
                <w:sz w:val="22"/>
              </w:rPr>
              <w:t>Redis 7</w:t>
            </w:r>
          </w:p>
        </w:tc>
      </w:tr>
      <w:tr>
        <w:tc>
          <w:tcPr>
            <w:tcW w:type="dxa" w:w="2835"/>
          </w:tcPr>
          <w:p>
            <w:pPr>
              <w:jc w:val="left"/>
            </w:pPr>
            <w:r>
              <w:rPr>
                <w:rFonts w:ascii="Times New Roman" w:hAnsi="Times New Roman" w:eastAsia="Times New Roman"/>
                <w:b w:val="0"/>
                <w:i w:val="0"/>
                <w:sz w:val="22"/>
              </w:rPr>
              <w:t>Фойдаланувчи интерфейси</w:t>
            </w:r>
          </w:p>
        </w:tc>
        <w:tc>
          <w:tcPr>
            <w:tcW w:type="dxa" w:w="5783"/>
          </w:tcPr>
          <w:p>
            <w:pPr>
              <w:jc w:val="left"/>
            </w:pPr>
            <w:r>
              <w:rPr>
                <w:rFonts w:ascii="Times New Roman" w:hAnsi="Times New Roman" w:eastAsia="Times New Roman"/>
                <w:b w:val="0"/>
                <w:i w:val="0"/>
                <w:sz w:val="22"/>
              </w:rPr>
              <w:t>React 18, TypeScript, Material UI</w:t>
            </w:r>
          </w:p>
        </w:tc>
      </w:tr>
      <w:tr>
        <w:tc>
          <w:tcPr>
            <w:tcW w:type="dxa" w:w="2835"/>
          </w:tcPr>
          <w:p>
            <w:pPr>
              <w:jc w:val="left"/>
            </w:pPr>
            <w:r>
              <w:rPr>
                <w:rFonts w:ascii="Times New Roman" w:hAnsi="Times New Roman" w:eastAsia="Times New Roman"/>
                <w:b w:val="0"/>
                <w:i w:val="0"/>
                <w:sz w:val="22"/>
              </w:rPr>
              <w:t>Жойлаштириш</w:t>
            </w:r>
          </w:p>
        </w:tc>
        <w:tc>
          <w:tcPr>
            <w:tcW w:type="dxa" w:w="5783"/>
          </w:tcPr>
          <w:p>
            <w:pPr>
              <w:jc w:val="left"/>
            </w:pPr>
            <w:r>
              <w:rPr>
                <w:rFonts w:ascii="Times New Roman" w:hAnsi="Times New Roman" w:eastAsia="Times New Roman"/>
                <w:b w:val="0"/>
                <w:i w:val="0"/>
                <w:sz w:val="22"/>
              </w:rPr>
              <w:t>Docker Compose, Nginx, HTTPS (SSL сертификати)</w:t>
            </w:r>
          </w:p>
        </w:tc>
      </w:tr>
      <w:tr>
        <w:tc>
          <w:tcPr>
            <w:tcW w:type="dxa" w:w="2835"/>
          </w:tcPr>
          <w:p>
            <w:pPr>
              <w:jc w:val="left"/>
            </w:pPr>
            <w:r>
              <w:rPr>
                <w:rFonts w:ascii="Times New Roman" w:hAnsi="Times New Roman" w:eastAsia="Times New Roman"/>
                <w:b w:val="0"/>
                <w:i w:val="0"/>
                <w:sz w:val="22"/>
              </w:rPr>
              <w:t>Интеграция</w:t>
            </w:r>
          </w:p>
        </w:tc>
        <w:tc>
          <w:tcPr>
            <w:tcW w:type="dxa" w:w="5783"/>
          </w:tcPr>
          <w:p>
            <w:pPr>
              <w:jc w:val="left"/>
            </w:pPr>
            <w:r>
              <w:rPr>
                <w:rFonts w:ascii="Times New Roman" w:hAnsi="Times New Roman" w:eastAsia="Times New Roman"/>
                <w:b w:val="0"/>
                <w:i w:val="0"/>
                <w:sz w:val="22"/>
              </w:rPr>
              <w:t>HEMIS ахборот тизими</w:t>
            </w:r>
          </w:p>
        </w:tc>
      </w:tr>
    </w:tbl>
    <w:p>
      <w:pPr>
        <w:spacing w:after="120"/>
      </w:pPr>
    </w:p>
    <w:p>
      <w:pPr>
        <w:spacing w:before="0" w:after="120"/>
        <w:ind w:firstLine="709"/>
        <w:jc w:val="both"/>
      </w:pPr>
      <w:r>
        <w:rPr>
          <w:rFonts w:ascii="Times New Roman" w:hAnsi="Times New Roman" w:eastAsia="Times New Roman"/>
          <w:b w:val="0"/>
          <w:i w:val="0"/>
          <w:sz w:val="24"/>
        </w:rPr>
        <w:t>Тизим тўлиқ контейнерлаштирилган ҳолда етказиб берилади ва битта буйруқ билан серверга ўрнатилади. Кодга киритилаётган ҳар бир ўзгариш автоматлаштирилган текширувдан (код сифати, типлар мослиги, тестлар, лойиҳа йиғилиши) ўтади. Тизимнинг асосий жараёнлари — авторизация, ваколатларнинг чекланиши, мурожаатнинг тўлиқ ҳаётий цикли ва хавфсизлик механизмлари — автоматлаштирилган тестлар билан қамраб олинган. Маълумотлар базасининг тузилиши версияланган миграциялар орқали бошқарилади.</w:t>
      </w:r>
    </w:p>
    <w:p>
      <w:pPr>
        <w:keepNext/>
        <w:spacing w:before="240" w:after="120"/>
        <w:jc w:val="left"/>
      </w:pPr>
      <w:r>
        <w:rPr>
          <w:rFonts w:ascii="Times New Roman" w:hAnsi="Times New Roman" w:eastAsia="Times New Roman"/>
          <w:b/>
          <w:i w:val="0"/>
          <w:sz w:val="26"/>
        </w:rPr>
        <w:t>5. Ишлаб чиқилган ҳужжатлар</w:t>
      </w:r>
    </w:p>
    <w:p>
      <w:pPr>
        <w:spacing w:before="0" w:after="60"/>
        <w:ind w:firstLine="709"/>
        <w:jc w:val="both"/>
      </w:pPr>
      <w:r>
        <w:rPr>
          <w:rFonts w:ascii="Times New Roman" w:hAnsi="Times New Roman" w:eastAsia="Times New Roman"/>
          <w:b w:val="0"/>
          <w:i w:val="0"/>
          <w:sz w:val="24"/>
        </w:rPr>
        <w:t>Тизим билан бир қаторда қуйидаги ҳужжатлар ишлаб чиқилди:</w:t>
      </w:r>
    </w:p>
    <w:p>
      <w:pPr>
        <w:spacing w:after="60"/>
        <w:ind w:left="425"/>
        <w:jc w:val="both"/>
      </w:pPr>
      <w:r>
        <w:rPr>
          <w:rFonts w:ascii="Times New Roman" w:hAnsi="Times New Roman" w:eastAsia="Times New Roman"/>
          <w:b w:val="0"/>
          <w:i w:val="0"/>
          <w:sz w:val="24"/>
        </w:rPr>
        <w:t>– Техник топшириқ — тизимга қўйиладиган талаблар ва функционал имкониятлар тавсифи;</w:t>
      </w:r>
    </w:p>
    <w:p>
      <w:pPr>
        <w:spacing w:after="60"/>
        <w:ind w:left="425"/>
        <w:jc w:val="both"/>
      </w:pPr>
      <w:r>
        <w:rPr>
          <w:rFonts w:ascii="Times New Roman" w:hAnsi="Times New Roman" w:eastAsia="Times New Roman"/>
          <w:b w:val="0"/>
          <w:i w:val="0"/>
          <w:sz w:val="24"/>
        </w:rPr>
        <w:t>– Ташкилий-ҳуқуқий асос ва Регламент — Регистратор офиси фаолиятининг тартиби, хизматлар рўйхати, ижро муддатлари ва масъулият чегаралари;</w:t>
      </w:r>
    </w:p>
    <w:p>
      <w:pPr>
        <w:spacing w:after="60"/>
        <w:ind w:left="425"/>
        <w:jc w:val="both"/>
      </w:pPr>
      <w:r>
        <w:rPr>
          <w:rFonts w:ascii="Times New Roman" w:hAnsi="Times New Roman" w:eastAsia="Times New Roman"/>
          <w:b w:val="0"/>
          <w:i w:val="0"/>
          <w:sz w:val="24"/>
        </w:rPr>
        <w:t>– Тизимни ўрнатиш ва фойдаланиш бўйича техник қўлланма.</w:t>
      </w:r>
    </w:p>
    <w:p>
      <w:pPr>
        <w:keepNext/>
        <w:spacing w:before="240" w:after="120"/>
        <w:jc w:val="left"/>
      </w:pPr>
      <w:r>
        <w:rPr>
          <w:rFonts w:ascii="Times New Roman" w:hAnsi="Times New Roman" w:eastAsia="Times New Roman"/>
          <w:b/>
          <w:i w:val="0"/>
          <w:sz w:val="26"/>
        </w:rPr>
        <w:t>6. Эришилган натижалар</w:t>
      </w:r>
    </w:p>
    <w:p>
      <w:pPr>
        <w:spacing w:after="60"/>
        <w:ind w:left="425"/>
        <w:jc w:val="both"/>
      </w:pPr>
      <w:r>
        <w:rPr>
          <w:rFonts w:ascii="Times New Roman" w:hAnsi="Times New Roman" w:eastAsia="Times New Roman"/>
          <w:b w:val="0"/>
          <w:i w:val="0"/>
          <w:sz w:val="24"/>
        </w:rPr>
        <w:t>– Регистратор офисининг 6 та йўналиш бўйича 59 та хизмати ягона электрон платформада бирлаштирилди ва масофадан кўрсатиш имконияти яратилди.</w:t>
      </w:r>
    </w:p>
    <w:p>
      <w:pPr>
        <w:spacing w:after="60"/>
        <w:ind w:left="425"/>
        <w:jc w:val="both"/>
      </w:pPr>
      <w:r>
        <w:rPr>
          <w:rFonts w:ascii="Times New Roman" w:hAnsi="Times New Roman" w:eastAsia="Times New Roman"/>
          <w:b w:val="0"/>
          <w:i w:val="0"/>
          <w:sz w:val="24"/>
        </w:rPr>
        <w:t>– Талабанинг хизмат олиш учун университетга шахсан келиш ва қоғоз ҳужжат топшириш заруратига бўлган эҳтиёж сезиларли даражада камайди.</w:t>
      </w:r>
    </w:p>
    <w:p>
      <w:pPr>
        <w:spacing w:after="60"/>
        <w:ind w:left="425"/>
        <w:jc w:val="both"/>
      </w:pPr>
      <w:r>
        <w:rPr>
          <w:rFonts w:ascii="Times New Roman" w:hAnsi="Times New Roman" w:eastAsia="Times New Roman"/>
          <w:b w:val="0"/>
          <w:i w:val="0"/>
          <w:sz w:val="24"/>
        </w:rPr>
        <w:t>– Ҳар бир мурожаат бўйича масъул ходим ва ижро муддати аниқ белгиланиб, уларнинг ижроси автоматик назоратга олинди.</w:t>
      </w:r>
    </w:p>
    <w:p>
      <w:pPr>
        <w:spacing w:after="60"/>
        <w:ind w:left="425"/>
        <w:jc w:val="both"/>
      </w:pPr>
      <w:r>
        <w:rPr>
          <w:rFonts w:ascii="Times New Roman" w:hAnsi="Times New Roman" w:eastAsia="Times New Roman"/>
          <w:b w:val="0"/>
          <w:i w:val="0"/>
          <w:sz w:val="24"/>
        </w:rPr>
        <w:t>– Мурожаатларнинг йўқолиши ёки эътибордан четда қолиши бартараф этилди — ҳар бир мурожаат кузатув рақамига эга ва тўлиқ қайд этиб борилади.</w:t>
      </w:r>
    </w:p>
    <w:p>
      <w:pPr>
        <w:spacing w:after="60"/>
        <w:ind w:left="425"/>
        <w:jc w:val="both"/>
      </w:pPr>
      <w:r>
        <w:rPr>
          <w:rFonts w:ascii="Times New Roman" w:hAnsi="Times New Roman" w:eastAsia="Times New Roman"/>
          <w:b w:val="0"/>
          <w:i w:val="0"/>
          <w:sz w:val="24"/>
        </w:rPr>
        <w:t>– Иш юкламаси ходимлар ўртасида автоматик ва мутаносиб тақсимланиши таъминланди.</w:t>
      </w:r>
    </w:p>
    <w:p>
      <w:pPr>
        <w:spacing w:after="60"/>
        <w:ind w:left="425"/>
        <w:jc w:val="both"/>
      </w:pPr>
      <w:r>
        <w:rPr>
          <w:rFonts w:ascii="Times New Roman" w:hAnsi="Times New Roman" w:eastAsia="Times New Roman"/>
          <w:b w:val="0"/>
          <w:i w:val="0"/>
          <w:sz w:val="24"/>
        </w:rPr>
        <w:t>– Раҳбарият хизмат кўрсатиш сифати ва ходимлар фаолияти бўйича реал вақт режимидаги таҳлилий маълумотга эга бўлди.</w:t>
      </w:r>
    </w:p>
    <w:p>
      <w:pPr>
        <w:spacing w:after="60"/>
        <w:ind w:left="425"/>
        <w:jc w:val="both"/>
      </w:pPr>
      <w:r>
        <w:rPr>
          <w:rFonts w:ascii="Times New Roman" w:hAnsi="Times New Roman" w:eastAsia="Times New Roman"/>
          <w:b w:val="0"/>
          <w:i w:val="0"/>
          <w:sz w:val="24"/>
        </w:rPr>
        <w:t>– Жараёнларнинг тўлиқ шаффофлиги ва аудит қилиниши таъминланди.</w:t>
      </w:r>
    </w:p>
    <w:p/>
    <w:p>
      <w:pPr>
        <w:spacing w:before="0" w:after="240"/>
        <w:ind w:firstLine="709"/>
        <w:jc w:val="both"/>
      </w:pPr>
      <w:r>
        <w:rPr>
          <w:rFonts w:ascii="Times New Roman" w:hAnsi="Times New Roman" w:eastAsia="Times New Roman"/>
          <w:b w:val="0"/>
          <w:i w:val="0"/>
          <w:sz w:val="24"/>
        </w:rPr>
        <w:t>Тизим ишга туширишга тайёр ҳолатга келтирилган бўлиб, университетнинг барча факультетлари бўйича босқичма-босқич жорий этиш режалаштирилган.</w:t>
      </w:r>
    </w:p>
    <w:p>
      <w:pPr>
        <w:spacing w:before="360"/>
      </w:pPr>
    </w:p>
    <w:tbl>
      <w:tblPr>
        <w:tblW w:type="auto" w:w="0"/>
        <w:jc w:val="center"/>
        <w:tblLook w:firstColumn="1" w:firstRow="1" w:lastColumn="0" w:lastRow="0" w:noHBand="0" w:noVBand="1" w:val="04A0"/>
      </w:tblPr>
      <w:tblGrid>
        <w:gridCol w:w="4677"/>
        <w:gridCol w:w="4677"/>
      </w:tblGrid>
      <w:tr>
        <w:tc>
          <w:tcPr>
            <w:tcW w:type="dxa" w:w="4252"/>
          </w:tcPr>
          <w:p>
            <w:pPr>
              <w:jc w:val="left"/>
            </w:pPr>
            <w:r>
              <w:rPr>
                <w:rFonts w:ascii="Times New Roman" w:hAnsi="Times New Roman" w:eastAsia="Times New Roman"/>
                <w:b w:val="0"/>
                <w:i w:val="0"/>
                <w:sz w:val="24"/>
              </w:rPr>
              <w:t>Маълумотнома тузувчи:</w:t>
            </w:r>
          </w:p>
        </w:tc>
        <w:tc>
          <w:tcPr>
            <w:tcW w:type="dxa" w:w="4252"/>
          </w:tcPr>
          <w:p>
            <w:pPr>
              <w:jc w:val="right"/>
            </w:pPr>
            <w:r>
              <w:rPr>
                <w:rFonts w:ascii="Times New Roman" w:hAnsi="Times New Roman" w:eastAsia="Times New Roman"/>
                <w:b w:val="0"/>
                <w:i w:val="0"/>
                <w:sz w:val="24"/>
              </w:rPr>
              <w:t>_____________________</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