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CA5" w:rsidRDefault="00DD7CA5"/>
    <w:p w:rsidR="00DD7CA5" w:rsidRDefault="009169FC">
      <w:pPr>
        <w:spacing w:after="240"/>
        <w:jc w:val="center"/>
      </w:pPr>
      <w:r>
        <w:rPr>
          <w:b/>
          <w:sz w:val="32"/>
        </w:rPr>
        <w:t>СОДЕРЖАНИЕ</w:t>
      </w:r>
    </w:p>
    <w:sdt>
      <w:sdtPr>
        <w:id w:val="1687398534"/>
        <w:docPartObj>
          <w:docPartGallery w:val="Table of Contents"/>
          <w:docPartUnique/>
        </w:docPartObj>
      </w:sdtPr>
      <w:sdtContent>
        <w:p w:rsidR="001B0A38" w:rsidRDefault="009169F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41091" w:history="1">
            <w:r w:rsidR="001B0A38" w:rsidRPr="004927B1">
              <w:rPr>
                <w:rStyle w:val="a6"/>
                <w:noProof/>
              </w:rPr>
              <w:t>СПИСОК СОКРАЩЕНИЙ И УСЛОВНЫХ ОБОЗНАЧЕНИЙ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2" w:history="1">
            <w:r w:rsidR="001B0A38" w:rsidRPr="004927B1">
              <w:rPr>
                <w:rStyle w:val="a6"/>
                <w:noProof/>
              </w:rPr>
              <w:t>ВВЕДЕНИЕ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6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3" w:history="1">
            <w:r w:rsidR="001B0A38" w:rsidRPr="004927B1">
              <w:rPr>
                <w:rStyle w:val="a6"/>
                <w:noProof/>
              </w:rPr>
              <w:t>ГЛАВА 1. ТЕОРЕТИЧЕСКИЕ ОСНОВЫ СИНТЕЗА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4" w:history="1">
            <w:r w:rsidR="001B0A38" w:rsidRPr="004927B1">
              <w:rPr>
                <w:rStyle w:val="a6"/>
                <w:noProof/>
              </w:rPr>
              <w:t>1.1 Роль синтетических нуклеиновых кислот в современной генетике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5" w:history="1">
            <w:r w:rsidR="001B0A38" w:rsidRPr="004927B1">
              <w:rPr>
                <w:rStyle w:val="a6"/>
                <w:noProof/>
              </w:rPr>
              <w:t>1.2 Краткая история развития методов химического синтеза ДНК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6" w:history="1">
            <w:r w:rsidR="001B0A38" w:rsidRPr="004927B1">
              <w:rPr>
                <w:rStyle w:val="a6"/>
                <w:noProof/>
              </w:rPr>
              <w:t>1.3 Принцип твердофазного фосфорамидитного синтеза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7" w:history="1">
            <w:r w:rsidR="001B0A38" w:rsidRPr="004927B1">
              <w:rPr>
                <w:rStyle w:val="a6"/>
                <w:noProof/>
              </w:rPr>
              <w:t>1.4 Циклическ</w:t>
            </w:r>
            <w:r w:rsidR="00444C3B">
              <w:rPr>
                <w:rStyle w:val="a6"/>
                <w:noProof/>
              </w:rPr>
              <w:t xml:space="preserve">ие стадии химического </w:t>
            </w:r>
            <w:r w:rsidR="00444C3B" w:rsidRPr="00444C3B">
              <w:rPr>
                <w:rStyle w:val="a6"/>
                <w:noProof/>
              </w:rPr>
              <w:t>синтеза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8" w:history="1">
            <w:r w:rsidR="001B0A38" w:rsidRPr="004927B1">
              <w:rPr>
                <w:rStyle w:val="a6"/>
                <w:noProof/>
              </w:rPr>
              <w:t>1.5 Система защиты функциональных групп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099" w:history="1">
            <w:r w:rsidR="001B0A38" w:rsidRPr="004927B1">
              <w:rPr>
                <w:rStyle w:val="a6"/>
                <w:noProof/>
              </w:rPr>
              <w:t>1.6 Твердофазные носители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_Toc231841099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0" w:history="1">
            <w:r w:rsidR="001B0A38" w:rsidRPr="004927B1">
              <w:rPr>
                <w:rStyle w:val="a6"/>
                <w:noProof/>
              </w:rPr>
              <w:t>1.7 Деблокирование и снятие олигонуклеотида с носителя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1" w:history="1">
            <w:r w:rsidR="001B0A38" w:rsidRPr="004927B1">
              <w:rPr>
                <w:rStyle w:val="a6"/>
                <w:noProof/>
              </w:rPr>
              <w:t>1.8 Методы выделения и анализа чистоты продукта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2" w:history="1">
            <w:r w:rsidR="001B0A38" w:rsidRPr="004927B1">
              <w:rPr>
                <w:rStyle w:val="a6"/>
                <w:noProof/>
              </w:rPr>
              <w:t>ГЛАВА 2. ХАРАКТЕРИСТИКА ГЕНА TOP2A ЧЕЛОВЕКА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3" w:history="1">
            <w:r w:rsidR="001B0A38" w:rsidRPr="004927B1">
              <w:rPr>
                <w:rStyle w:val="a6"/>
                <w:noProof/>
              </w:rPr>
              <w:t>2.1 ДНК-топоизомеразы: общая классификация и функции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4" w:history="1">
            <w:r w:rsidR="001B0A38" w:rsidRPr="004927B1">
              <w:rPr>
                <w:rStyle w:val="a6"/>
                <w:noProof/>
              </w:rPr>
              <w:t>2.2 Структура и хромосомная локализация гена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5" w:history="1">
            <w:r w:rsidR="001B0A38" w:rsidRPr="004927B1">
              <w:rPr>
                <w:rStyle w:val="a6"/>
                <w:noProof/>
              </w:rPr>
              <w:t>2.3 Изоформы топоизомеразы II: альфа и бета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6" w:history="1">
            <w:r w:rsidR="001B0A38" w:rsidRPr="004927B1">
              <w:rPr>
                <w:rStyle w:val="a6"/>
                <w:noProof/>
              </w:rPr>
              <w:t>2.4 Каталитический механизм топоизомеразы II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7" w:history="1">
            <w:r w:rsidR="001B0A38" w:rsidRPr="004927B1">
              <w:rPr>
                <w:rStyle w:val="a6"/>
                <w:noProof/>
              </w:rPr>
              <w:t>2.5 Роль топоизомеразы II альфа в клеточном цикле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19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8" w:history="1">
            <w:r w:rsidR="001B0A38" w:rsidRPr="004927B1">
              <w:rPr>
                <w:rStyle w:val="a6"/>
                <w:noProof/>
              </w:rPr>
              <w:t>2.6 Топоизомераза II как мишень противоопухолевой терапии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09" w:history="1">
            <w:r w:rsidR="001B0A38" w:rsidRPr="004927B1">
              <w:rPr>
                <w:rStyle w:val="a6"/>
                <w:noProof/>
              </w:rPr>
              <w:t>2.7 Экспрессия гена TOP2A в норме и при патологии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_Toc231841109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0" w:history="1">
            <w:r w:rsidR="001B0A38" w:rsidRPr="004927B1">
              <w:rPr>
                <w:rStyle w:val="a6"/>
                <w:noProof/>
              </w:rPr>
              <w:t>2.8 Ген TOP2A как прогностический и предсказательный биомаркер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1" w:history="1">
            <w:r w:rsidR="001B0A38" w:rsidRPr="004927B1">
              <w:rPr>
                <w:rStyle w:val="a6"/>
                <w:noProof/>
              </w:rPr>
              <w:t>ГЛАВА 3. ПОЛИМЕРАЗНАЯ ЦЕПНАЯ РЕАКЦИЯ И АНАЛИЗ ЭКСПРЕССИИ ГЕНОВ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2" w:history="1">
            <w:r w:rsidR="001B0A38" w:rsidRPr="004927B1">
              <w:rPr>
                <w:rStyle w:val="a6"/>
                <w:noProof/>
              </w:rPr>
              <w:t>3.1 История создания метода и его значение для генетики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3" w:history="1">
            <w:r w:rsidR="001B0A38" w:rsidRPr="004927B1">
              <w:rPr>
                <w:rStyle w:val="a6"/>
                <w:noProof/>
              </w:rPr>
              <w:t>3.2 Компоненты реакционной смеси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4" w:history="1">
            <w:r w:rsidR="001B0A38" w:rsidRPr="004927B1">
              <w:rPr>
                <w:rStyle w:val="a6"/>
                <w:noProof/>
              </w:rPr>
              <w:t>3.3 Этапы термического цикла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5" w:history="1">
            <w:r w:rsidR="001B0A38" w:rsidRPr="004927B1">
              <w:rPr>
                <w:rStyle w:val="a6"/>
                <w:noProof/>
              </w:rPr>
              <w:t>3.4 Разновидности полимеразной цепной реакции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6" w:history="1">
            <w:r w:rsidR="001B0A38" w:rsidRPr="004927B1">
              <w:rPr>
                <w:rStyle w:val="a6"/>
                <w:noProof/>
              </w:rPr>
              <w:t>3.5 Методы детекции в ПЦР реального времени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26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7" w:history="1">
            <w:r w:rsidR="001B0A38" w:rsidRPr="004927B1">
              <w:rPr>
                <w:rStyle w:val="a6"/>
                <w:noProof/>
              </w:rPr>
              <w:t>3.6 Принципы количественной оценки экспрессии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8" w:history="1">
            <w:r w:rsidR="001B0A38" w:rsidRPr="004927B1">
              <w:rPr>
                <w:rStyle w:val="a6"/>
                <w:noProof/>
              </w:rPr>
              <w:t>3.7 Требования к праймерам для анализа гена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19" w:history="1">
            <w:r w:rsidR="001B0A38" w:rsidRPr="004927B1">
              <w:rPr>
                <w:rStyle w:val="a6"/>
                <w:noProof/>
              </w:rPr>
              <w:t>3.8 Контроль качества и источники ошибок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_Toc231841119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0" w:history="1">
            <w:r w:rsidR="001B0A38" w:rsidRPr="004927B1">
              <w:rPr>
                <w:rStyle w:val="a6"/>
                <w:noProof/>
              </w:rPr>
              <w:t>ГЛАВА 4. ЭКСПЕРИМЕНТАЛЬНАЯ ЧАСТЬ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1" w:history="1">
            <w:r w:rsidR="001B0A38" w:rsidRPr="004927B1">
              <w:rPr>
                <w:rStyle w:val="a6"/>
                <w:noProof/>
              </w:rPr>
              <w:t>4.1 Материалы, реагенты и оборудование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_Toc231841121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29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2" w:history="1">
            <w:r w:rsidR="001B0A38" w:rsidRPr="004927B1">
              <w:rPr>
                <w:rStyle w:val="a6"/>
                <w:noProof/>
              </w:rPr>
              <w:t>4.2 Биоинформатический подбор праймеров к гену TOP2A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_Toc231841122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30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3" w:history="1">
            <w:r w:rsidR="001B0A38" w:rsidRPr="004927B1">
              <w:rPr>
                <w:rStyle w:val="a6"/>
                <w:noProof/>
              </w:rPr>
              <w:t>4.3 Протокол синтеза и очистки олигонуклеотидов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_Toc231841123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31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4" w:history="1">
            <w:r w:rsidR="001B0A38" w:rsidRPr="004927B1">
              <w:rPr>
                <w:rStyle w:val="a6"/>
                <w:noProof/>
              </w:rPr>
              <w:t>4.4 Выделение РНК и обратная транскрипция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_Toc231841124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5" w:history="1">
            <w:r w:rsidR="001B0A38" w:rsidRPr="004927B1">
              <w:rPr>
                <w:rStyle w:val="a6"/>
                <w:noProof/>
              </w:rPr>
              <w:t>4.5 Постановка количественной ОТ-ПЦР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_Toc231841125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32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6" w:history="1">
            <w:r w:rsidR="001B0A38" w:rsidRPr="004927B1">
              <w:rPr>
                <w:rStyle w:val="a6"/>
                <w:noProof/>
              </w:rPr>
              <w:t>4.6 Обработка результатов и нормировка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_Toc231841126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33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7" w:history="1">
            <w:r w:rsidR="001B0A38" w:rsidRPr="004927B1">
              <w:rPr>
                <w:rStyle w:val="a6"/>
                <w:noProof/>
              </w:rPr>
              <w:t>4.7 Рекомендации по обеспечению достоверности анализа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_Toc231841127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34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8" w:history="1">
            <w:r w:rsidR="001B0A38" w:rsidRPr="004927B1">
              <w:rPr>
                <w:rStyle w:val="a6"/>
                <w:noProof/>
              </w:rPr>
              <w:t>ЗАКЛЮЧЕНИЕ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_Toc231841128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35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29" w:history="1">
            <w:r w:rsidR="001B0A38" w:rsidRPr="004927B1">
              <w:rPr>
                <w:rStyle w:val="a6"/>
                <w:noProof/>
              </w:rPr>
              <w:t>ВЫВОДЫ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_Toc231841129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37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1B0A38" w:rsidRDefault="00D17365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41130" w:history="1">
            <w:r w:rsidR="001B0A38" w:rsidRPr="004927B1">
              <w:rPr>
                <w:rStyle w:val="a6"/>
                <w:noProof/>
              </w:rPr>
              <w:t>СПИСОК ИСПОЛЬЗОВАННЫХ ИСТОЧНИКОВ</w:t>
            </w:r>
            <w:r w:rsidR="001B0A38">
              <w:rPr>
                <w:noProof/>
                <w:webHidden/>
              </w:rPr>
              <w:tab/>
            </w:r>
            <w:r w:rsidR="001B0A38">
              <w:rPr>
                <w:noProof/>
                <w:webHidden/>
              </w:rPr>
              <w:fldChar w:fldCharType="begin"/>
            </w:r>
            <w:r w:rsidR="001B0A38">
              <w:rPr>
                <w:noProof/>
                <w:webHidden/>
              </w:rPr>
              <w:instrText xml:space="preserve"> PAGEREF _Toc231841130 \h </w:instrText>
            </w:r>
            <w:r w:rsidR="001B0A38">
              <w:rPr>
                <w:noProof/>
                <w:webHidden/>
              </w:rPr>
            </w:r>
            <w:r w:rsidR="001B0A38">
              <w:rPr>
                <w:noProof/>
                <w:webHidden/>
              </w:rPr>
              <w:fldChar w:fldCharType="separate"/>
            </w:r>
            <w:r w:rsidR="001B0A38">
              <w:rPr>
                <w:noProof/>
                <w:webHidden/>
              </w:rPr>
              <w:t>38</w:t>
            </w:r>
            <w:r w:rsidR="001B0A38">
              <w:rPr>
                <w:noProof/>
                <w:webHidden/>
              </w:rPr>
              <w:fldChar w:fldCharType="end"/>
            </w:r>
          </w:hyperlink>
        </w:p>
        <w:p w:rsidR="00DD7CA5" w:rsidRDefault="009169FC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end"/>
          </w:r>
        </w:p>
      </w:sdtContent>
    </w:sdt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0" w:name="_Toc231841091"/>
      <w:r>
        <w:rPr>
          <w:szCs w:val="32"/>
        </w:rPr>
        <w:lastRenderedPageBreak/>
        <w:t>СПИСОК СОКРАЩЕНИЙ И УСЛОВНЫХ ОБОЗНАЧЕНИЙ</w:t>
      </w:r>
      <w:bookmarkEnd w:id="0"/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00"/>
      </w:tblGrid>
      <w:tr w:rsidR="00DD7CA5">
        <w:tc>
          <w:tcPr>
            <w:tcW w:w="26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>Сокращение</w:t>
            </w:r>
          </w:p>
        </w:tc>
        <w:tc>
          <w:tcPr>
            <w:tcW w:w="67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>Расшифровка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ДНК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дезоксирибонуклеиновая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РНК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мРНК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матричная (информационная) рибонуклеиновая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кДНК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комплементарная ДНК, синтезируемая на матрице </w:t>
            </w:r>
            <w:proofErr w:type="spellStart"/>
            <w:r>
              <w:rPr>
                <w:sz w:val="24"/>
                <w:szCs w:val="24"/>
              </w:rPr>
              <w:t>мРНК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полимеразная цепная реакция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ОТ-ПЦР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 с предварительной обратной транскрипцией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ПЦР-РВ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ПЦР в реальном времени (количественная ПЦР)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цПЦР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цифровая капельная ПЦР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ВЭЖХ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высокоэффективная жидкостная хроматография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ОФ-ВЭЖХ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обращённо</w:t>
            </w:r>
            <w:proofErr w:type="spellEnd"/>
            <w:r>
              <w:rPr>
                <w:sz w:val="24"/>
                <w:szCs w:val="24"/>
              </w:rPr>
              <w:t>-фазовая высокоэффективная жидкостная хроматография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ПААГ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полиакриламидный гель (электрофорез в ПААГ)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TOP2A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ген ДНК-</w:t>
            </w:r>
            <w:proofErr w:type="spellStart"/>
            <w:r>
              <w:rPr>
                <w:sz w:val="24"/>
                <w:szCs w:val="24"/>
              </w:rPr>
              <w:t>топоизомеразы</w:t>
            </w:r>
            <w:proofErr w:type="spellEnd"/>
            <w:r>
              <w:rPr>
                <w:sz w:val="24"/>
                <w:szCs w:val="24"/>
              </w:rPr>
              <w:t xml:space="preserve"> II альфа человека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TOP2B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ген ДНК-</w:t>
            </w:r>
            <w:proofErr w:type="spellStart"/>
            <w:r>
              <w:rPr>
                <w:sz w:val="24"/>
                <w:szCs w:val="24"/>
              </w:rPr>
              <w:t>топоизомеразы</w:t>
            </w:r>
            <w:proofErr w:type="spellEnd"/>
            <w:r>
              <w:rPr>
                <w:sz w:val="24"/>
                <w:szCs w:val="24"/>
              </w:rPr>
              <w:t xml:space="preserve"> II бета человека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Топо</w:t>
            </w:r>
            <w:proofErr w:type="spellEnd"/>
            <w:r>
              <w:rPr>
                <w:sz w:val="24"/>
                <w:szCs w:val="24"/>
              </w:rPr>
              <w:t xml:space="preserve"> II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фермент ДНК-</w:t>
            </w:r>
            <w:proofErr w:type="spellStart"/>
            <w:r>
              <w:rPr>
                <w:sz w:val="24"/>
                <w:szCs w:val="24"/>
              </w:rPr>
              <w:t>топоизомераза</w:t>
            </w:r>
            <w:proofErr w:type="spellEnd"/>
            <w:r>
              <w:rPr>
                <w:sz w:val="24"/>
                <w:szCs w:val="24"/>
              </w:rPr>
              <w:t xml:space="preserve"> II типа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ДМТ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4,4′-диметокситритильная защитная группа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СПС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стекло с контролируемым размером пор (твердофазный носитель)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ТХУ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трихлоруксусная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ДХУ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дихлоруксусная кислота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АЦН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ацетонитрил</w:t>
            </w:r>
            <w:proofErr w:type="spellEnd"/>
            <w:r>
              <w:rPr>
                <w:sz w:val="24"/>
                <w:szCs w:val="24"/>
              </w:rPr>
              <w:t xml:space="preserve"> (безводный растворитель)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ТГФ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тетрагидрофуран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dNTP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смесь </w:t>
            </w:r>
            <w:proofErr w:type="spellStart"/>
            <w:r>
              <w:rPr>
                <w:sz w:val="24"/>
                <w:szCs w:val="24"/>
              </w:rPr>
              <w:t>дезоксирибонуклеозидтрифосфатов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Tm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температура плавления (отжига) </w:t>
            </w:r>
            <w:proofErr w:type="spellStart"/>
            <w:r>
              <w:rPr>
                <w:sz w:val="24"/>
                <w:szCs w:val="24"/>
              </w:rPr>
              <w:t>олигонуклеотида</w:t>
            </w:r>
            <w:proofErr w:type="spellEnd"/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Cq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пороговый цикл количественной ПЦР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ИГХ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иммуногистохимическое</w:t>
            </w:r>
            <w:proofErr w:type="spellEnd"/>
            <w:r>
              <w:rPr>
                <w:sz w:val="24"/>
                <w:szCs w:val="24"/>
              </w:rPr>
              <w:t xml:space="preserve"> окрашивание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п.н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пара нуклеотидов (единица длины ДНК)</w:t>
            </w:r>
          </w:p>
        </w:tc>
      </w:tr>
      <w:tr w:rsidR="00DD7CA5">
        <w:tc>
          <w:tcPr>
            <w:tcW w:w="26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кДа</w:t>
            </w:r>
            <w:proofErr w:type="spellEnd"/>
          </w:p>
        </w:tc>
        <w:tc>
          <w:tcPr>
            <w:tcW w:w="6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килодальтон</w:t>
            </w:r>
            <w:proofErr w:type="spellEnd"/>
            <w:r>
              <w:rPr>
                <w:sz w:val="24"/>
                <w:szCs w:val="24"/>
              </w:rPr>
              <w:t xml:space="preserve"> (единица молекулярной массы)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1" w:name="_Toc231841092"/>
      <w:r>
        <w:rPr>
          <w:szCs w:val="32"/>
        </w:rPr>
        <w:lastRenderedPageBreak/>
        <w:t>ВВЕДЕНИЕ</w:t>
      </w:r>
      <w:bookmarkEnd w:id="1"/>
    </w:p>
    <w:p w:rsidR="00DD7CA5" w:rsidRDefault="009169FC">
      <w:pPr>
        <w:ind w:firstLine="709"/>
        <w:jc w:val="both"/>
      </w:pPr>
      <w:r>
        <w:rPr>
          <w:b/>
        </w:rPr>
        <w:t xml:space="preserve">Актуальность исследования. </w:t>
      </w:r>
      <w:r>
        <w:t>Поддержание целостности генома и корректное протекание клеточного деления относятся к числу центральных проблем современной молекулярной биологии и биомедицины. Ключевую роль в этих процессах играет фермент ДНК-</w:t>
      </w:r>
      <w:proofErr w:type="spellStart"/>
      <w:r>
        <w:t>топоизомераза</w:t>
      </w:r>
      <w:proofErr w:type="spellEnd"/>
      <w:r>
        <w:t xml:space="preserve"> II альфа, кодируемый геном TOP2A: он управляет топологическим состоянием двойной спирали, снимает избыточное скручивание и обеспечивает разъединение дочерних молекул ДНК при репликации и сегрегации хромосом [1, 2, 7]. Нарушение работы этого фермента ведёт к хромосомным перестройкам, остановке клеточного цикла и запуску запрограммированной гибели клетки.</w:t>
      </w:r>
    </w:p>
    <w:p w:rsidR="00DD7CA5" w:rsidRDefault="009169FC">
      <w:pPr>
        <w:ind w:firstLine="709"/>
        <w:jc w:val="both"/>
      </w:pPr>
      <w:r>
        <w:t xml:space="preserve">Поскольку уровень транскрипции гена TOP2A тесно связан с интенсивностью пролиферации, его рассматривают как информативный прогностический </w:t>
      </w:r>
      <w:proofErr w:type="spellStart"/>
      <w:r>
        <w:t>биомаркер</w:t>
      </w:r>
      <w:proofErr w:type="spellEnd"/>
      <w:r>
        <w:t xml:space="preserve"> в онкологии. Количественная оценка матричной РНК TOP2A позволяет судить о скорости роста новообразования и прогнозировать чувствительность опухоли к препаратам, ингибирующим </w:t>
      </w:r>
      <w:proofErr w:type="spellStart"/>
      <w:r>
        <w:t>топоизомеразу</w:t>
      </w:r>
      <w:proofErr w:type="spellEnd"/>
      <w:r>
        <w:t xml:space="preserve"> II, — </w:t>
      </w:r>
      <w:proofErr w:type="spellStart"/>
      <w:r>
        <w:t>антрациклинам</w:t>
      </w:r>
      <w:proofErr w:type="spellEnd"/>
      <w:r>
        <w:t xml:space="preserve"> и </w:t>
      </w:r>
      <w:proofErr w:type="spellStart"/>
      <w:r>
        <w:t>этопозиду</w:t>
      </w:r>
      <w:proofErr w:type="spellEnd"/>
      <w:r>
        <w:t xml:space="preserve"> [3, 4, 11]. Наиболее точным, быстрым и воспроизводимым инструментом измерения экспрессии генов сегодня является полимеразная цепная реакция, прежде всего её количественный вариант в реальном времени, требующий применения строго специфичных </w:t>
      </w:r>
      <w:proofErr w:type="spellStart"/>
      <w:r>
        <w:t>олигонуклеотидных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>.</w:t>
      </w:r>
    </w:p>
    <w:p w:rsidR="00DD7CA5" w:rsidRDefault="009169FC">
      <w:pPr>
        <w:ind w:firstLine="709"/>
        <w:jc w:val="both"/>
      </w:pPr>
      <w:r>
        <w:t xml:space="preserve">Достоверность результатов полимеразной цепной реакции в значительной степени определяется качеством используемых олигонуклеотидов. </w:t>
      </w:r>
      <w:proofErr w:type="spellStart"/>
      <w:r>
        <w:t>Фосфорамидитный</w:t>
      </w:r>
      <w:proofErr w:type="spellEnd"/>
      <w:r>
        <w:t xml:space="preserve"> метод твердофазного синтеза, реализованный на автоматических синтезаторах, обеспечивает получение коротких фрагментов ДНК с высокой селективностью, чистотой и выходом, что делает его базовой технологией молекулярно-генетических лабораторий [5, 6, 12]. Таким образом, последовательное рассмотрение трёх взаимосвязанных звеньев — химического синтеза олигонуклеотидов, биологии гена TOP2A и методологии полимеразной цепной реакции — </w:t>
      </w:r>
      <w:r>
        <w:lastRenderedPageBreak/>
        <w:t>представляет собой единую логическую цепь, лежащую в основе современной молекулярной диагностики.</w:t>
      </w:r>
    </w:p>
    <w:p w:rsidR="00DD7CA5" w:rsidRDefault="00320F0C">
      <w:pPr>
        <w:ind w:firstLine="709"/>
        <w:jc w:val="both"/>
      </w:pPr>
      <w:r>
        <w:rPr>
          <w:b/>
        </w:rPr>
        <w:t xml:space="preserve">Цель работы </w:t>
      </w:r>
      <w:r w:rsidR="00444C3B">
        <w:t xml:space="preserve">— конструирование и синтез высокоспецифичных </w:t>
      </w:r>
      <w:proofErr w:type="spellStart"/>
      <w:r w:rsidR="00444C3B">
        <w:t>олигонуклеотидных</w:t>
      </w:r>
      <w:proofErr w:type="spellEnd"/>
      <w:r w:rsidR="00444C3B">
        <w:t xml:space="preserve"> </w:t>
      </w:r>
      <w:proofErr w:type="spellStart"/>
      <w:r w:rsidR="00444C3B">
        <w:t>праймеров</w:t>
      </w:r>
      <w:proofErr w:type="spellEnd"/>
      <w:r w:rsidR="00444C3B">
        <w:t xml:space="preserve"> для изучения экспрессии гена </w:t>
      </w:r>
      <w:r w:rsidR="00444C3B">
        <w:rPr>
          <w:lang w:val="en-US"/>
        </w:rPr>
        <w:t>TOP</w:t>
      </w:r>
      <w:r w:rsidR="00444C3B" w:rsidRPr="00444C3B">
        <w:t>2</w:t>
      </w:r>
      <w:proofErr w:type="gramStart"/>
      <w:r w:rsidR="00444C3B">
        <w:rPr>
          <w:lang w:val="en-US"/>
        </w:rPr>
        <w:t>A</w:t>
      </w:r>
      <w:r w:rsidR="00444C3B" w:rsidRPr="00444C3B">
        <w:t xml:space="preserve"> </w:t>
      </w:r>
      <w:r w:rsidR="00444C3B">
        <w:t xml:space="preserve"> человека</w:t>
      </w:r>
      <w:proofErr w:type="gramEnd"/>
      <w:r w:rsidR="00444C3B">
        <w:t xml:space="preserve"> методом ОТ-ПЦР в реальном времени.  </w:t>
      </w:r>
    </w:p>
    <w:p w:rsidR="00DD7CA5" w:rsidRDefault="009169FC">
      <w:pPr>
        <w:ind w:firstLine="709"/>
        <w:jc w:val="both"/>
      </w:pPr>
      <w:r>
        <w:rPr>
          <w:b/>
        </w:rPr>
        <w:t>Задачи исследования:</w:t>
      </w:r>
    </w:p>
    <w:p w:rsidR="00DD7CA5" w:rsidRDefault="002B0E3F">
      <w:pPr>
        <w:pStyle w:val="a3"/>
        <w:numPr>
          <w:ilvl w:val="0"/>
          <w:numId w:val="1"/>
        </w:numPr>
        <w:jc w:val="both"/>
      </w:pPr>
      <w:r>
        <w:t>провести анализ</w:t>
      </w:r>
      <w:r w:rsidRPr="002B0E3F">
        <w:t xml:space="preserve"> </w:t>
      </w:r>
      <w:r>
        <w:t xml:space="preserve">нуклеотидной последовательности гена </w:t>
      </w:r>
      <w:r>
        <w:rPr>
          <w:lang w:val="en-US"/>
        </w:rPr>
        <w:t>TOP</w:t>
      </w:r>
      <w:r w:rsidRPr="002B0E3F">
        <w:t>2</w:t>
      </w:r>
      <w:r>
        <w:rPr>
          <w:lang w:val="en-US"/>
        </w:rPr>
        <w:t>A</w:t>
      </w:r>
      <w:r w:rsidR="00B07F9D">
        <w:t xml:space="preserve"> для определения пригодных </w:t>
      </w:r>
      <w:proofErr w:type="gramStart"/>
      <w:r w:rsidR="00B07F9D">
        <w:t>участков  методом</w:t>
      </w:r>
      <w:proofErr w:type="gramEnd"/>
      <w:r w:rsidR="00B07F9D">
        <w:t xml:space="preserve"> </w:t>
      </w:r>
      <w:r w:rsidR="00B07F9D">
        <w:rPr>
          <w:lang w:val="en-US"/>
        </w:rPr>
        <w:t>in</w:t>
      </w:r>
      <w:r w:rsidR="00B07F9D" w:rsidRPr="00B07F9D">
        <w:t xml:space="preserve"> </w:t>
      </w:r>
      <w:proofErr w:type="spellStart"/>
      <w:r w:rsidR="00B07F9D">
        <w:rPr>
          <w:lang w:val="en-US"/>
        </w:rPr>
        <w:t>silico</w:t>
      </w:r>
      <w:proofErr w:type="spellEnd"/>
      <w:r w:rsidR="00B07F9D" w:rsidRPr="00B07F9D">
        <w:t xml:space="preserve">. </w:t>
      </w:r>
      <w:r w:rsidR="00B07F9D">
        <w:rPr>
          <w:lang w:val="uz-Cyrl-UZ"/>
        </w:rPr>
        <w:t xml:space="preserve">Конструирование праймеров на </w:t>
      </w:r>
      <w:r w:rsidR="00B07F9D">
        <w:t>выбранные участки гена учитывая термодинамические критерии.</w:t>
      </w:r>
      <w:r w:rsidRPr="002B0E3F">
        <w:t xml:space="preserve">  </w:t>
      </w:r>
    </w:p>
    <w:p w:rsidR="00DD7CA5" w:rsidRPr="00320F0C" w:rsidRDefault="00B07F9D">
      <w:pPr>
        <w:pStyle w:val="a3"/>
        <w:numPr>
          <w:ilvl w:val="0"/>
          <w:numId w:val="1"/>
        </w:numPr>
        <w:jc w:val="both"/>
      </w:pPr>
      <w:r w:rsidRPr="00320F0C">
        <w:t xml:space="preserve">Синтезировать </w:t>
      </w:r>
      <w:r w:rsidR="00302733" w:rsidRPr="00320F0C">
        <w:t xml:space="preserve">конструированные </w:t>
      </w:r>
      <w:proofErr w:type="spellStart"/>
      <w:r w:rsidR="00302733" w:rsidRPr="00320F0C">
        <w:t>праймеры</w:t>
      </w:r>
      <w:proofErr w:type="spellEnd"/>
      <w:r w:rsidR="00302733" w:rsidRPr="00320F0C">
        <w:t xml:space="preserve"> </w:t>
      </w:r>
      <w:proofErr w:type="spellStart"/>
      <w:r w:rsidR="00302733" w:rsidRPr="00320F0C">
        <w:t>фосфороамидитным</w:t>
      </w:r>
      <w:proofErr w:type="spellEnd"/>
      <w:r w:rsidR="00302733" w:rsidRPr="00320F0C">
        <w:t xml:space="preserve"> методом, провести пост синтетическую обработку </w:t>
      </w:r>
      <w:proofErr w:type="spellStart"/>
      <w:r w:rsidR="00302733" w:rsidRPr="00320F0C">
        <w:t>праймеров</w:t>
      </w:r>
      <w:proofErr w:type="spellEnd"/>
      <w:r w:rsidR="00302733" w:rsidRPr="00320F0C">
        <w:t>.</w:t>
      </w:r>
    </w:p>
    <w:p w:rsidR="00DD7CA5" w:rsidRDefault="00302733">
      <w:pPr>
        <w:pStyle w:val="a3"/>
        <w:numPr>
          <w:ilvl w:val="0"/>
          <w:numId w:val="1"/>
        </w:numPr>
        <w:jc w:val="both"/>
      </w:pPr>
      <w:r>
        <w:t xml:space="preserve">осуществить очистку </w:t>
      </w:r>
      <w:proofErr w:type="spellStart"/>
      <w:r>
        <w:t>праймеров</w:t>
      </w:r>
      <w:proofErr w:type="spellEnd"/>
      <w:r>
        <w:t xml:space="preserve"> методом гель электрофореза ПААГ, оценить чистоту </w:t>
      </w:r>
      <w:proofErr w:type="gramStart"/>
      <w:r>
        <w:t xml:space="preserve">синтезированных  </w:t>
      </w:r>
      <w:proofErr w:type="spellStart"/>
      <w:r>
        <w:t>праймеров</w:t>
      </w:r>
      <w:proofErr w:type="spellEnd"/>
      <w:proofErr w:type="gramEnd"/>
      <w:r>
        <w:t xml:space="preserve"> методом ВЭЖХ. </w:t>
      </w:r>
    </w:p>
    <w:p w:rsidR="00DD7CA5" w:rsidRPr="00320F0C" w:rsidRDefault="00224BF2">
      <w:pPr>
        <w:pStyle w:val="a3"/>
        <w:numPr>
          <w:ilvl w:val="0"/>
          <w:numId w:val="1"/>
        </w:numPr>
        <w:jc w:val="both"/>
      </w:pPr>
      <w:r w:rsidRPr="00320F0C">
        <w:t xml:space="preserve">подобрать условия и состав ПЦР смеси, провести анализ на изучение экспрессии гена </w:t>
      </w:r>
      <w:r w:rsidRPr="00320F0C">
        <w:rPr>
          <w:lang w:val="en-US"/>
        </w:rPr>
        <w:t>TOP</w:t>
      </w:r>
      <w:r w:rsidRPr="00320F0C">
        <w:t>2</w:t>
      </w:r>
      <w:r w:rsidRPr="00320F0C">
        <w:rPr>
          <w:lang w:val="en-US"/>
        </w:rPr>
        <w:t>A</w:t>
      </w:r>
      <w:r w:rsidRPr="00320F0C">
        <w:t xml:space="preserve"> методом ОТ-ПЦР в реальном времени используя конструированные и синтезированные </w:t>
      </w:r>
      <w:proofErr w:type="spellStart"/>
      <w:r w:rsidRPr="00320F0C">
        <w:t>праймеры</w:t>
      </w:r>
      <w:proofErr w:type="spellEnd"/>
      <w:r w:rsidRPr="00320F0C">
        <w:t xml:space="preserve">, оценить эффективность </w:t>
      </w:r>
      <w:proofErr w:type="spellStart"/>
      <w:r w:rsidRPr="00320F0C">
        <w:t>праймеров</w:t>
      </w:r>
      <w:proofErr w:type="spellEnd"/>
      <w:r w:rsidRPr="00320F0C">
        <w:t>.</w:t>
      </w:r>
    </w:p>
    <w:p w:rsidR="00D17365" w:rsidRPr="00D17365" w:rsidRDefault="009169FC">
      <w:pPr>
        <w:ind w:firstLine="709"/>
        <w:jc w:val="both"/>
      </w:pPr>
      <w:r>
        <w:rPr>
          <w:b/>
        </w:rPr>
        <w:t>Объект исследования —</w:t>
      </w:r>
      <w:r w:rsidR="00D17365">
        <w:rPr>
          <w:b/>
        </w:rPr>
        <w:t xml:space="preserve"> </w:t>
      </w:r>
      <w:proofErr w:type="spellStart"/>
      <w:r w:rsidR="00D17365">
        <w:t>мРНК</w:t>
      </w:r>
      <w:proofErr w:type="spellEnd"/>
      <w:r w:rsidR="00D17365">
        <w:t xml:space="preserve"> человеческого гена </w:t>
      </w:r>
      <w:r w:rsidR="00D17365">
        <w:rPr>
          <w:lang w:val="en-US"/>
        </w:rPr>
        <w:t>TOP</w:t>
      </w:r>
      <w:r w:rsidR="00D17365" w:rsidRPr="00D17365">
        <w:t>2</w:t>
      </w:r>
      <w:r w:rsidR="00D17365">
        <w:rPr>
          <w:lang w:val="en-US"/>
        </w:rPr>
        <w:t>A</w:t>
      </w:r>
    </w:p>
    <w:p w:rsidR="00DD7CA5" w:rsidRDefault="009169FC">
      <w:pPr>
        <w:ind w:firstLine="709"/>
        <w:jc w:val="both"/>
      </w:pPr>
      <w:r>
        <w:rPr>
          <w:b/>
        </w:rPr>
        <w:t>Предмет исследования —</w:t>
      </w:r>
      <w:r w:rsidR="00D17365" w:rsidRPr="00D17365">
        <w:rPr>
          <w:b/>
        </w:rPr>
        <w:t xml:space="preserve"> </w:t>
      </w:r>
      <w:r w:rsidR="00D17365" w:rsidRPr="00D17365">
        <w:t>нуклеотидная</w:t>
      </w:r>
      <w:r w:rsidR="00D17365">
        <w:rPr>
          <w:b/>
        </w:rPr>
        <w:t xml:space="preserve"> </w:t>
      </w:r>
      <w:r w:rsidR="00D17365">
        <w:t>последовательность</w:t>
      </w:r>
      <w:r w:rsidR="00D17365" w:rsidRPr="00D17365">
        <w:t xml:space="preserve"> </w:t>
      </w:r>
      <w:r w:rsidR="00D17365">
        <w:t>человеческого гена</w:t>
      </w:r>
      <w:r w:rsidR="00D17365" w:rsidRPr="00D17365">
        <w:t xml:space="preserve"> </w:t>
      </w:r>
      <w:r w:rsidR="00D17365">
        <w:rPr>
          <w:lang w:val="en-US"/>
        </w:rPr>
        <w:t>TOP</w:t>
      </w:r>
      <w:r w:rsidR="00D17365" w:rsidRPr="00D17365">
        <w:t>2</w:t>
      </w:r>
      <w:r w:rsidR="00D17365">
        <w:rPr>
          <w:lang w:val="en-US"/>
        </w:rPr>
        <w:t>A</w:t>
      </w:r>
      <w:r w:rsidR="00D17365">
        <w:t xml:space="preserve">, </w:t>
      </w:r>
      <w:proofErr w:type="spellStart"/>
      <w:r w:rsidR="00D17365">
        <w:t>праймеры</w:t>
      </w:r>
      <w:proofErr w:type="spellEnd"/>
      <w:r w:rsidR="00D17365">
        <w:t xml:space="preserve">, термодинамические свойства </w:t>
      </w:r>
      <w:proofErr w:type="spellStart"/>
      <w:r w:rsidR="00D17365">
        <w:t>олигонуклеотидных</w:t>
      </w:r>
      <w:proofErr w:type="spellEnd"/>
      <w:r w:rsidR="00D17365">
        <w:t xml:space="preserve"> </w:t>
      </w:r>
      <w:proofErr w:type="spellStart"/>
      <w:r w:rsidR="00D17365">
        <w:t>праймеров</w:t>
      </w:r>
      <w:proofErr w:type="spellEnd"/>
      <w:r w:rsidR="00D17365">
        <w:t xml:space="preserve">, специфичность, </w:t>
      </w:r>
      <w:proofErr w:type="spellStart"/>
      <w:r w:rsidR="00D17365">
        <w:t>воспроизводимость</w:t>
      </w:r>
      <w:proofErr w:type="spellEnd"/>
      <w:r w:rsidR="00D17365">
        <w:t xml:space="preserve"> разработанного ПЦР исследования</w:t>
      </w:r>
      <w:r>
        <w:t>.</w:t>
      </w:r>
    </w:p>
    <w:p w:rsidR="00DD7CA5" w:rsidRDefault="009169FC">
      <w:pPr>
        <w:ind w:firstLine="709"/>
        <w:jc w:val="both"/>
      </w:pPr>
      <w:r>
        <w:rPr>
          <w:b/>
        </w:rPr>
        <w:t xml:space="preserve">Методы исследования. </w:t>
      </w:r>
      <w:r>
        <w:t xml:space="preserve">В работе использованы аналитический обзор и систематизация научной литературы, сравнительный анализ методов синтеза и очистки олигонуклеотидов, </w:t>
      </w:r>
      <w:proofErr w:type="spellStart"/>
      <w:r>
        <w:t>биоинформатическое</w:t>
      </w:r>
      <w:proofErr w:type="spellEnd"/>
      <w:r>
        <w:t xml:space="preserve"> проектирование </w:t>
      </w:r>
      <w:proofErr w:type="spellStart"/>
      <w:r>
        <w:t>праймеров</w:t>
      </w:r>
      <w:proofErr w:type="spellEnd"/>
      <w:r>
        <w:t xml:space="preserve"> с применением общедоступных программных средств, а также расчётно-методическое моделирование протокола количественной ОТ-ПЦР.</w:t>
      </w:r>
    </w:p>
    <w:p w:rsidR="00DD7CA5" w:rsidRDefault="009169FC">
      <w:pPr>
        <w:ind w:firstLine="709"/>
        <w:jc w:val="both"/>
      </w:pPr>
      <w:r>
        <w:rPr>
          <w:b/>
        </w:rPr>
        <w:t xml:space="preserve">Практическая значимость. </w:t>
      </w:r>
      <w:r>
        <w:t xml:space="preserve">Предложенный алгоритм подбора </w:t>
      </w:r>
      <w:proofErr w:type="spellStart"/>
      <w:r>
        <w:t>праймеров</w:t>
      </w:r>
      <w:proofErr w:type="spellEnd"/>
      <w:r>
        <w:t xml:space="preserve">, синтеза и очистки олигонуклеотидов и постановки </w:t>
      </w:r>
      <w:r>
        <w:lastRenderedPageBreak/>
        <w:t>количественной ОТ-ПЦР может быть использован в учебных и научно-исследовательских лабораториях для оценки экспрессии гена TOP2A, в том числе при изучении пролиферативной активности опухолевых клеток и прогнозировании ответа на химиотерапию.</w:t>
      </w:r>
    </w:p>
    <w:p w:rsidR="00DD7CA5" w:rsidRDefault="009169FC">
      <w:pPr>
        <w:ind w:firstLine="709"/>
        <w:jc w:val="both"/>
      </w:pPr>
      <w:r>
        <w:rPr>
          <w:b/>
        </w:rPr>
        <w:t xml:space="preserve">Структура работы. </w:t>
      </w:r>
      <w:r>
        <w:t>Работа состоит из введения, четырёх глав, заключения, выводов и списка использованных источников. Первая глава посвящена теоретическим основам синтеза олигонуклеотидов, вторая — характеристике гена TOP2A человека, третья — методологии полимеразной цепной реакции, четвёртая — материалам и методам экспериментальной части. Работа изложена на 60 с лишним страницах, содержит таблицы, схемы и рисунки, а также список использованных источников из более чем пятидесяти наименований.</w:t>
      </w:r>
    </w:p>
    <w:p w:rsidR="00DD7CA5" w:rsidRDefault="009169FC">
      <w:r>
        <w:br w:type="page"/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" w:name="_Toc231841093"/>
      <w:r>
        <w:rPr>
          <w:szCs w:val="32"/>
        </w:rPr>
        <w:lastRenderedPageBreak/>
        <w:t>ГЛАВА 1. ТЕОРЕТИЧЕСКИЕ ОСНОВЫ СИНТЕЗА ОЛИГОНУКЛЕОТИДОВ</w:t>
      </w:r>
      <w:bookmarkEnd w:id="2"/>
    </w:p>
    <w:p w:rsidR="00DD7CA5" w:rsidRDefault="009169FC">
      <w:pPr>
        <w:pStyle w:val="2"/>
        <w:spacing w:before="200" w:after="160"/>
        <w:ind w:firstLine="709"/>
      </w:pPr>
      <w:bookmarkStart w:id="3" w:name="_Toc231841094"/>
      <w:r>
        <w:t>1.1 Роль синтетических нуклеиновых кислот в современной генетике</w:t>
      </w:r>
      <w:bookmarkEnd w:id="3"/>
    </w:p>
    <w:p w:rsidR="00DD7CA5" w:rsidRDefault="009169FC">
      <w:pPr>
        <w:ind w:firstLine="709"/>
        <w:jc w:val="both"/>
      </w:pPr>
      <w:proofErr w:type="spellStart"/>
      <w:r>
        <w:t>Олигонуклеотидами</w:t>
      </w:r>
      <w:proofErr w:type="spellEnd"/>
      <w:r>
        <w:t xml:space="preserve"> называют искусственно собранные короткие цепочки нуклеотидов, обычно длиной от нескольких единиц до нескольких десятков звеньев. Несмотря на скромный размер, эти молекулы стали одним из фундаментальных рабочих инструментов молекулярной биологии и биотехнологии. Возможность направленно конструировать последовательность из четырёх канонических оснований — </w:t>
      </w:r>
      <w:proofErr w:type="spellStart"/>
      <w:r>
        <w:t>аденина</w:t>
      </w:r>
      <w:proofErr w:type="spellEnd"/>
      <w:r>
        <w:t xml:space="preserve">, гуанина, </w:t>
      </w:r>
      <w:proofErr w:type="spellStart"/>
      <w:r>
        <w:t>цитозина</w:t>
      </w:r>
      <w:proofErr w:type="spellEnd"/>
      <w:r>
        <w:t xml:space="preserve"> и </w:t>
      </w:r>
      <w:proofErr w:type="spellStart"/>
      <w:r>
        <w:t>тимина</w:t>
      </w:r>
      <w:proofErr w:type="spellEnd"/>
      <w:r>
        <w:t xml:space="preserve"> — позволяет получать молекулы с заранее заданными свойствами, способные избирательно узнавать комплементарные участки нуклеиновых кислот [5, 6].</w:t>
      </w:r>
    </w:p>
    <w:p w:rsidR="00DD7CA5" w:rsidRDefault="009169FC">
      <w:pPr>
        <w:ind w:firstLine="709"/>
        <w:jc w:val="both"/>
      </w:pPr>
      <w:r>
        <w:t xml:space="preserve">В исследованиях экспрессии гена TOP2A синтетические </w:t>
      </w:r>
      <w:proofErr w:type="spellStart"/>
      <w:r>
        <w:t>олигонуклеотиды</w:t>
      </w:r>
      <w:proofErr w:type="spellEnd"/>
      <w:r>
        <w:t xml:space="preserve"> выполняют функцию </w:t>
      </w:r>
      <w:proofErr w:type="spellStart"/>
      <w:r>
        <w:t>праймеров</w:t>
      </w:r>
      <w:proofErr w:type="spellEnd"/>
      <w:r>
        <w:t xml:space="preserve"> — коротких затравок, с которых ДНК-полимераза начинает достройку новой цепи. Именно </w:t>
      </w:r>
      <w:proofErr w:type="spellStart"/>
      <w:r>
        <w:t>праймеры</w:t>
      </w:r>
      <w:proofErr w:type="spellEnd"/>
      <w:r>
        <w:t xml:space="preserve"> задают границы </w:t>
      </w:r>
      <w:proofErr w:type="spellStart"/>
      <w:r>
        <w:t>амплифицируемого</w:t>
      </w:r>
      <w:proofErr w:type="spellEnd"/>
      <w:r>
        <w:t xml:space="preserve"> участка и обеспечивают избирательность реакции: фермент копирует исключительно тот фрагмент, который ограничен парой комплементарных затравок. Поэтому точность нуклеотидной последовательности и химическая чистота олигонуклеотидов напрямую определяют достоверность всей последующей диагностики [6, 17].</w:t>
      </w:r>
    </w:p>
    <w:p w:rsidR="00DD7CA5" w:rsidRDefault="009169FC">
      <w:pPr>
        <w:ind w:firstLine="709"/>
        <w:jc w:val="both"/>
      </w:pPr>
      <w:r>
        <w:t xml:space="preserve">Помимо роли </w:t>
      </w:r>
      <w:proofErr w:type="spellStart"/>
      <w:r>
        <w:t>праймеров</w:t>
      </w:r>
      <w:proofErr w:type="spellEnd"/>
      <w:r>
        <w:t xml:space="preserve">, синтетические </w:t>
      </w:r>
      <w:proofErr w:type="spellStart"/>
      <w:r>
        <w:t>олигонуклеотиды</w:t>
      </w:r>
      <w:proofErr w:type="spellEnd"/>
      <w:r>
        <w:t xml:space="preserve"> применяются как флуоресцентно-меченые зонды, как зонды для гибридизации, в качестве матриц для сборки генов, при сайт-направленном мутагенезе, а также в терапевтических подходах — </w:t>
      </w:r>
      <w:proofErr w:type="spellStart"/>
      <w:r>
        <w:t>антисмысловых</w:t>
      </w:r>
      <w:proofErr w:type="spellEnd"/>
      <w:r>
        <w:t xml:space="preserve"> препаратах и средствах на основе малых интерферирующих РНК. Широта применения объясняет высокие требования к технологии их получения [6, 15, 18].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1.1 — Области применения синтетических олигонуклеотидов в молекулярной биологии и медицине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00"/>
        <w:gridCol w:w="5100"/>
      </w:tblGrid>
      <w:tr w:rsidR="00DD7CA5">
        <w:tc>
          <w:tcPr>
            <w:tcW w:w="4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Область применения</w:t>
            </w:r>
          </w:p>
        </w:tc>
        <w:tc>
          <w:tcPr>
            <w:tcW w:w="51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 </w:t>
            </w:r>
            <w:proofErr w:type="spellStart"/>
            <w:r>
              <w:rPr>
                <w:b/>
                <w:sz w:val="24"/>
                <w:szCs w:val="24"/>
              </w:rPr>
              <w:t>олигонуклеотида</w:t>
            </w:r>
            <w:proofErr w:type="spellEnd"/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Полимеразная цепная реакция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праймеры</w:t>
            </w:r>
            <w:proofErr w:type="spellEnd"/>
            <w:r>
              <w:rPr>
                <w:sz w:val="24"/>
                <w:szCs w:val="24"/>
              </w:rPr>
              <w:t>, задающие границы амплификации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Количественная ПЦР в реальном времени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 xml:space="preserve">флуоресцентно-меченые зонды для </w:t>
            </w:r>
            <w:proofErr w:type="spellStart"/>
            <w:r>
              <w:rPr>
                <w:sz w:val="24"/>
                <w:szCs w:val="24"/>
              </w:rPr>
              <w:t>детекции</w:t>
            </w:r>
            <w:proofErr w:type="spellEnd"/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Секвенирование</w:t>
            </w:r>
            <w:proofErr w:type="spellEnd"/>
            <w:r>
              <w:rPr>
                <w:sz w:val="24"/>
                <w:szCs w:val="24"/>
              </w:rPr>
              <w:t xml:space="preserve"> ДНК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праймеры</w:t>
            </w:r>
            <w:proofErr w:type="spellEnd"/>
            <w:r>
              <w:rPr>
                <w:sz w:val="24"/>
                <w:szCs w:val="24"/>
              </w:rPr>
              <w:t xml:space="preserve"> для реакции </w:t>
            </w:r>
            <w:proofErr w:type="spellStart"/>
            <w:r>
              <w:rPr>
                <w:sz w:val="24"/>
                <w:szCs w:val="24"/>
              </w:rPr>
              <w:t>терминации</w:t>
            </w:r>
            <w:proofErr w:type="spellEnd"/>
            <w:r>
              <w:rPr>
                <w:sz w:val="24"/>
                <w:szCs w:val="24"/>
              </w:rPr>
              <w:t xml:space="preserve"> цепи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Сайт-направленный мутагенез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внесение точечных замен в последовательность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Синтетическая биология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блоки для сборки искусственных генов</w:t>
            </w:r>
          </w:p>
        </w:tc>
      </w:tr>
      <w:tr w:rsidR="00DD7CA5">
        <w:tc>
          <w:tcPr>
            <w:tcW w:w="4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4"/>
                <w:szCs w:val="24"/>
              </w:rPr>
              <w:t>Терапия</w:t>
            </w:r>
          </w:p>
        </w:tc>
        <w:tc>
          <w:tcPr>
            <w:tcW w:w="5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4"/>
                <w:szCs w:val="24"/>
              </w:rPr>
              <w:t>антисмысловые</w:t>
            </w:r>
            <w:proofErr w:type="spellEnd"/>
            <w:r>
              <w:rPr>
                <w:sz w:val="24"/>
                <w:szCs w:val="24"/>
              </w:rPr>
              <w:t xml:space="preserve"> препараты, малые интерферирующие РНК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4" w:name="_Toc231841095"/>
      <w:r>
        <w:t>1.2 Краткая история развития методов химического синтеза ДНК</w:t>
      </w:r>
      <w:bookmarkEnd w:id="4"/>
    </w:p>
    <w:p w:rsidR="00DD7CA5" w:rsidRDefault="009169FC">
      <w:pPr>
        <w:ind w:firstLine="709"/>
        <w:jc w:val="both"/>
      </w:pPr>
      <w:r>
        <w:t xml:space="preserve">Развитие методов сборки олигонуклеотидов прошло несколько принципиальных этапов. Первые работы середины двадцатого века основывались на фосфодиэфирном подходе, который был трудоёмким и давал низкие выходы. Последующий </w:t>
      </w:r>
      <w:proofErr w:type="spellStart"/>
      <w:r>
        <w:t>фосфотриэфирный</w:t>
      </w:r>
      <w:proofErr w:type="spellEnd"/>
      <w:r>
        <w:t xml:space="preserve"> метод повысил эффективность образования </w:t>
      </w:r>
      <w:proofErr w:type="spellStart"/>
      <w:r>
        <w:t>межнуклеотидной</w:t>
      </w:r>
      <w:proofErr w:type="spellEnd"/>
      <w:r>
        <w:t xml:space="preserve"> связи, однако оставался медленным и плохо поддавался автоматизации [5].</w:t>
      </w:r>
    </w:p>
    <w:p w:rsidR="00DD7CA5" w:rsidRDefault="009169FC">
      <w:pPr>
        <w:ind w:firstLine="709"/>
        <w:jc w:val="both"/>
      </w:pPr>
      <w:r>
        <w:t xml:space="preserve">Переломным моментом стало предложение </w:t>
      </w:r>
      <w:proofErr w:type="spellStart"/>
      <w:r>
        <w:t>фосфитамидного</w:t>
      </w:r>
      <w:proofErr w:type="spellEnd"/>
      <w:r>
        <w:t xml:space="preserve"> (</w:t>
      </w:r>
      <w:proofErr w:type="spellStart"/>
      <w:r>
        <w:t>фосфорамидитного</w:t>
      </w:r>
      <w:proofErr w:type="spellEnd"/>
      <w:r>
        <w:t xml:space="preserve">) подхода в работах С. </w:t>
      </w:r>
      <w:proofErr w:type="spellStart"/>
      <w:r>
        <w:t>Бокажа</w:t>
      </w:r>
      <w:proofErr w:type="spellEnd"/>
      <w:r>
        <w:t xml:space="preserve"> и М. </w:t>
      </w:r>
      <w:proofErr w:type="spellStart"/>
      <w:r>
        <w:t>Карутерса</w:t>
      </w:r>
      <w:proofErr w:type="spellEnd"/>
      <w:r>
        <w:t xml:space="preserve"> в начале 1980-х годов. Использование устойчивых, но </w:t>
      </w:r>
      <w:proofErr w:type="spellStart"/>
      <w:r>
        <w:t>высокореакционноспособных</w:t>
      </w:r>
      <w:proofErr w:type="spellEnd"/>
      <w:r>
        <w:t xml:space="preserve"> при активации </w:t>
      </w:r>
      <w:proofErr w:type="spellStart"/>
      <w:r>
        <w:t>фосфорамидитных</w:t>
      </w:r>
      <w:proofErr w:type="spellEnd"/>
      <w:r>
        <w:t xml:space="preserve"> производных нуклеозидов позволило резко сократить время образования связи и повысить выход на каждой стадии до значений, близких к количественным [5, 6]. В сочетании с твердофазной стратегией, при которой растущая цепь закреплена на нерастворимом носителе, это сделало возможной полную автоматизацию процесса. Современные автоматические синтезаторы реализуют именно </w:t>
      </w:r>
      <w:proofErr w:type="spellStart"/>
      <w:r>
        <w:t>фосфорамидитную</w:t>
      </w:r>
      <w:proofErr w:type="spellEnd"/>
      <w:r>
        <w:t xml:space="preserve"> химию, оставаясь её прямыми наследниками.</w:t>
      </w:r>
    </w:p>
    <w:p w:rsidR="00DD7CA5" w:rsidRDefault="009169FC">
      <w:pPr>
        <w:pStyle w:val="2"/>
        <w:spacing w:before="200" w:after="160"/>
        <w:ind w:firstLine="709"/>
      </w:pPr>
      <w:bookmarkStart w:id="5" w:name="_Toc231841096"/>
      <w:r>
        <w:t xml:space="preserve">1.3 Принцип твердофазного </w:t>
      </w:r>
      <w:proofErr w:type="spellStart"/>
      <w:r>
        <w:t>фосфорамидитного</w:t>
      </w:r>
      <w:proofErr w:type="spellEnd"/>
      <w:r>
        <w:t xml:space="preserve"> синтеза</w:t>
      </w:r>
      <w:bookmarkEnd w:id="5"/>
    </w:p>
    <w:p w:rsidR="00DD7CA5" w:rsidRDefault="009169FC">
      <w:pPr>
        <w:ind w:firstLine="709"/>
        <w:jc w:val="both"/>
      </w:pPr>
      <w:r>
        <w:t xml:space="preserve">Сущность </w:t>
      </w:r>
      <w:proofErr w:type="spellStart"/>
      <w:r>
        <w:t>фосфорамидитного</w:t>
      </w:r>
      <w:proofErr w:type="spellEnd"/>
      <w:r>
        <w:t xml:space="preserve"> метода состоит в поэтапном наращивании нуклеотидной цепи в направлении от 3′-конца к 5′-концу. Стартовый нуклеозид заранее </w:t>
      </w:r>
      <w:proofErr w:type="spellStart"/>
      <w:r>
        <w:t>ковалентно</w:t>
      </w:r>
      <w:proofErr w:type="spellEnd"/>
      <w:r>
        <w:t xml:space="preserve"> закреплён на инертном пористом носителе, а </w:t>
      </w:r>
      <w:r>
        <w:lastRenderedPageBreak/>
        <w:t xml:space="preserve">каждое последующее звено присоединяется в виде активированного </w:t>
      </w:r>
      <w:proofErr w:type="spellStart"/>
      <w:r>
        <w:t>фосфорамидитного</w:t>
      </w:r>
      <w:proofErr w:type="spellEnd"/>
      <w:r>
        <w:t xml:space="preserve"> блока [5, 12, 14]. Принципиальное преимущество твердофазной стратегии заключается в том, что растущая цепь остаётся связанной с носителем на протяжении всего синтеза. Это позволяет после каждой стадии просто промывать колонку растворителем, удаляя избыток реагентов и побочные продукты, и тем самым доводить присоединение очередного звена практически до завершения.</w:t>
      </w:r>
    </w:p>
    <w:p w:rsidR="00DD7CA5" w:rsidRDefault="009169FC">
      <w:pPr>
        <w:ind w:firstLine="709"/>
        <w:jc w:val="both"/>
      </w:pPr>
      <w:r>
        <w:t xml:space="preserve">Автоматический синтезатор подаёт реагенты в реакционную колонку в строго заданной последовательности и в инертной атмосфере (обычно в токе аргона высокой чистоты), исключающей доступ влаги и кислорода. Благодаря этому достигается высокая </w:t>
      </w:r>
      <w:proofErr w:type="spellStart"/>
      <w:r>
        <w:t>воспроизводимость</w:t>
      </w:r>
      <w:proofErr w:type="spellEnd"/>
      <w:r>
        <w:t xml:space="preserve"> и возможность параллельного синтеза множества последовательностей [12].</w:t>
      </w:r>
    </w:p>
    <w:p w:rsidR="00DD7CA5" w:rsidRDefault="009169FC">
      <w:pPr>
        <w:pStyle w:val="2"/>
        <w:spacing w:before="200" w:after="160"/>
        <w:ind w:firstLine="709"/>
      </w:pPr>
      <w:bookmarkStart w:id="6" w:name="_Toc231841097"/>
      <w:r>
        <w:t>1.4 Циклические стадии химического синтеза олигонуклеотидов</w:t>
      </w:r>
      <w:bookmarkEnd w:id="6"/>
    </w:p>
    <w:p w:rsidR="00DD7CA5" w:rsidRDefault="009169FC">
      <w:pPr>
        <w:ind w:firstLine="709"/>
        <w:jc w:val="both"/>
      </w:pPr>
      <w:r>
        <w:t>Присоединение каждого нуклеотидного звена представляет собой замкнутый цикл из четырёх последовательных химических операций. Цикл повторяется столько раз, сколько звеньев содержит целевая последовательность. Ниже рассмотрены все четыре стадии.</w:t>
      </w:r>
    </w:p>
    <w:p w:rsidR="00DD7CA5" w:rsidRDefault="009169FC">
      <w:pPr>
        <w:ind w:firstLine="709"/>
        <w:jc w:val="both"/>
      </w:pPr>
      <w:r>
        <w:rPr>
          <w:b/>
        </w:rPr>
        <w:t>1) Снятие защиты (</w:t>
      </w:r>
      <w:proofErr w:type="spellStart"/>
      <w:r>
        <w:rPr>
          <w:b/>
        </w:rPr>
        <w:t>детритилирование</w:t>
      </w:r>
      <w:proofErr w:type="spellEnd"/>
      <w:r>
        <w:rPr>
          <w:b/>
        </w:rPr>
        <w:t xml:space="preserve">). </w:t>
      </w:r>
      <w:r>
        <w:t xml:space="preserve">Цикл начинается с удаления </w:t>
      </w:r>
      <w:proofErr w:type="spellStart"/>
      <w:r>
        <w:t>кислотолабильной</w:t>
      </w:r>
      <w:proofErr w:type="spellEnd"/>
      <w:r>
        <w:t xml:space="preserve"> 4,4′-диметокситритильной группы (ДМТ-группы), закрывающей 5′-гидроксильную функцию закреплённого на носите</w:t>
      </w:r>
      <w:r w:rsidR="006B3FCC">
        <w:t xml:space="preserve">ле нуклеозида. Обработка 3 % </w:t>
      </w:r>
      <w:r>
        <w:t xml:space="preserve">раствором кислоты (трихлоруксусной или дихлоруксусной в </w:t>
      </w:r>
      <w:proofErr w:type="spellStart"/>
      <w:r>
        <w:t>дихлорметане</w:t>
      </w:r>
      <w:proofErr w:type="spellEnd"/>
      <w:r>
        <w:t xml:space="preserve">) освобождает 5′-ОН-группу, которая становится точкой присоединения следующего звена. Отщепляемый </w:t>
      </w:r>
      <w:proofErr w:type="spellStart"/>
      <w:r>
        <w:t>диметокситритил</w:t>
      </w:r>
      <w:proofErr w:type="spellEnd"/>
      <w:r>
        <w:t>-катион имеет ярко-оранжевую окраску, поэтому интенсивность окрашивания раствора служит удобным показателем эффективности стадии и косвенно — выхода всего синтеза [5, 14].</w:t>
      </w:r>
    </w:p>
    <w:p w:rsidR="00DD7CA5" w:rsidRDefault="009169FC">
      <w:pPr>
        <w:ind w:firstLine="709"/>
        <w:jc w:val="both"/>
      </w:pPr>
      <w:r>
        <w:rPr>
          <w:b/>
        </w:rPr>
        <w:t xml:space="preserve">2) Конденсация (активация и присоединение). </w:t>
      </w:r>
      <w:r>
        <w:t xml:space="preserve">На втором этапе к освобождённой 5′-гидроксильной группе присоединяется очередной нуклеозид-3′-фосфорамидитный блок. Реакция протекает в присутствии </w:t>
      </w:r>
      <w:r>
        <w:lastRenderedPageBreak/>
        <w:t xml:space="preserve">слабокислого активатора — производного </w:t>
      </w:r>
      <w:proofErr w:type="spellStart"/>
      <w:r>
        <w:t>тетразола</w:t>
      </w:r>
      <w:proofErr w:type="spellEnd"/>
      <w:r>
        <w:t xml:space="preserve"> или </w:t>
      </w:r>
      <w:proofErr w:type="spellStart"/>
      <w:r>
        <w:t>дицианоимидазола</w:t>
      </w:r>
      <w:proofErr w:type="spellEnd"/>
      <w:r>
        <w:t xml:space="preserve">, — который превращает </w:t>
      </w:r>
      <w:proofErr w:type="spellStart"/>
      <w:r>
        <w:t>фосфорамидит</w:t>
      </w:r>
      <w:proofErr w:type="spellEnd"/>
      <w:r>
        <w:t xml:space="preserve"> в высоко</w:t>
      </w:r>
      <w:r w:rsidR="006B3FCC">
        <w:t xml:space="preserve"> </w:t>
      </w:r>
      <w:r>
        <w:t>реакционноспособную форму. В результате образуется промежуточная фосфит-</w:t>
      </w:r>
      <w:proofErr w:type="spellStart"/>
      <w:r>
        <w:t>триэфирная</w:t>
      </w:r>
      <w:proofErr w:type="spellEnd"/>
      <w:r>
        <w:t xml:space="preserve"> </w:t>
      </w:r>
      <w:proofErr w:type="spellStart"/>
      <w:r>
        <w:t>межнуклеотидная</w:t>
      </w:r>
      <w:proofErr w:type="spellEnd"/>
      <w:r>
        <w:t xml:space="preserve"> связь. Это ключевая стадия, определяющая выход звена; её эффективность на современных приборах превышает 99 % [5, 6].</w:t>
      </w:r>
    </w:p>
    <w:p w:rsidR="00DD7CA5" w:rsidRDefault="009169FC">
      <w:pPr>
        <w:ind w:firstLine="709"/>
        <w:jc w:val="both"/>
      </w:pPr>
      <w:r>
        <w:rPr>
          <w:b/>
        </w:rPr>
        <w:t>3) Блокирование непрореагировавших групп (</w:t>
      </w:r>
      <w:proofErr w:type="spellStart"/>
      <w:r>
        <w:rPr>
          <w:b/>
        </w:rPr>
        <w:t>кэпирование</w:t>
      </w:r>
      <w:proofErr w:type="spellEnd"/>
      <w:r>
        <w:rPr>
          <w:b/>
        </w:rPr>
        <w:t xml:space="preserve">). </w:t>
      </w:r>
      <w:r>
        <w:t xml:space="preserve">Часть 5′-гидроксильных групп по тем или иным причинам не вступает в конденсацию. Если оставить их свободными, на следующих циклах они дадут начало дефектным укороченным цепям. Чтобы исключить такие побочные последовательности, проводят </w:t>
      </w:r>
      <w:proofErr w:type="spellStart"/>
      <w:r>
        <w:t>ацетилирование</w:t>
      </w:r>
      <w:proofErr w:type="spellEnd"/>
      <w:r>
        <w:t>: смесь уксусного ангидрида и N-</w:t>
      </w:r>
      <w:proofErr w:type="spellStart"/>
      <w:r>
        <w:t>метилимидазола</w:t>
      </w:r>
      <w:proofErr w:type="spellEnd"/>
      <w:r>
        <w:t xml:space="preserve"> необратимо закрывает оставшиеся гидроксильные группы. </w:t>
      </w:r>
      <w:proofErr w:type="spellStart"/>
      <w:r>
        <w:t>Кэпирование</w:t>
      </w:r>
      <w:proofErr w:type="spellEnd"/>
      <w:r>
        <w:t xml:space="preserve"> существенно повышает чистоту конечного продукта [12, 14].</w:t>
      </w:r>
    </w:p>
    <w:p w:rsidR="00DD7CA5" w:rsidRDefault="009169FC">
      <w:pPr>
        <w:ind w:firstLine="709"/>
        <w:jc w:val="both"/>
      </w:pPr>
      <w:r>
        <w:rPr>
          <w:b/>
        </w:rPr>
        <w:t xml:space="preserve">4) Окисление. </w:t>
      </w:r>
      <w:r>
        <w:t>Завершает цикл стадия окисления, на которой лабильная фосфит-</w:t>
      </w:r>
      <w:proofErr w:type="spellStart"/>
      <w:r>
        <w:t>триэфирная</w:t>
      </w:r>
      <w:proofErr w:type="spellEnd"/>
      <w:r>
        <w:t xml:space="preserve"> связь переводится в устойчивую </w:t>
      </w:r>
      <w:proofErr w:type="spellStart"/>
      <w:r>
        <w:t>фосфотриэфирную</w:t>
      </w:r>
      <w:proofErr w:type="spellEnd"/>
      <w:r>
        <w:t xml:space="preserve"> (фосфатную) форму. Окислителем служит раствор </w:t>
      </w:r>
      <w:proofErr w:type="spellStart"/>
      <w:r>
        <w:t>иода</w:t>
      </w:r>
      <w:proofErr w:type="spellEnd"/>
      <w:r>
        <w:t xml:space="preserve"> в смеси тетрагидрофурана, пиридина и воды. Образование стабильного фосфатного остова обеспечивает химическую прочность и структурную целостность растущей цепи [5, 14].</w:t>
      </w:r>
    </w:p>
    <w:p w:rsidR="00DD7CA5" w:rsidRDefault="009169FC">
      <w:pPr>
        <w:ind w:firstLine="709"/>
        <w:jc w:val="both"/>
      </w:pPr>
      <w:r>
        <w:t xml:space="preserve">После окисления цикл замыкается: вновь проводят </w:t>
      </w:r>
      <w:proofErr w:type="spellStart"/>
      <w:r>
        <w:t>детритилирование</w:t>
      </w:r>
      <w:proofErr w:type="spellEnd"/>
      <w:r>
        <w:t>, и процесс повторяется до полной сборки заданной последовательности. Логика цикла представлена на рисунке 1.2 в виде блок-схемы.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DCE6F1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СТАРТ: нуклеозид на носителе (5′-ОН закрыт ДМТ-группой)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твердофазный носитель — стекло с контролируемым размером пор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1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DE9D9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1. ДЕТРИТИЛИРОВАНИЕ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раствор кислоты (ТХУ/ДХУ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удаление ДМТ-группы → свободная 5′-ОН-группа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2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BF1DE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2. КОНДЕНСАЦИЯ</w:t>
            </w:r>
          </w:p>
          <w:p w:rsidR="00DD7CA5" w:rsidRDefault="009169FC">
            <w:pPr>
              <w:spacing w:line="259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фосфорамидитный</w:t>
            </w:r>
            <w:proofErr w:type="spellEnd"/>
            <w:r>
              <w:rPr>
                <w:sz w:val="22"/>
                <w:szCs w:val="22"/>
              </w:rPr>
              <w:t xml:space="preserve"> блок + активатор (</w:t>
            </w:r>
            <w:proofErr w:type="spellStart"/>
            <w:r>
              <w:rPr>
                <w:sz w:val="22"/>
                <w:szCs w:val="22"/>
              </w:rPr>
              <w:t>тетразол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образование фосфит-</w:t>
            </w:r>
            <w:proofErr w:type="spellStart"/>
            <w:r>
              <w:rPr>
                <w:sz w:val="22"/>
                <w:szCs w:val="22"/>
              </w:rPr>
              <w:t>триэфирной</w:t>
            </w:r>
            <w:proofErr w:type="spellEnd"/>
            <w:r>
              <w:rPr>
                <w:sz w:val="22"/>
                <w:szCs w:val="22"/>
              </w:rPr>
              <w:t xml:space="preserve"> связи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стадия 3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DCDB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3. КЭПИРОВАНИЕ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lastRenderedPageBreak/>
              <w:t>блокировка непрореагировавших 5′-ОН-групп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lastRenderedPageBreak/>
        <w:t>↓ стадия 4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5E0EC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4. ОКИСЛЕНИЕ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раствор </w:t>
            </w:r>
            <w:proofErr w:type="spellStart"/>
            <w:r>
              <w:rPr>
                <w:sz w:val="22"/>
                <w:szCs w:val="22"/>
              </w:rPr>
              <w:t>иода</w:t>
            </w:r>
            <w:proofErr w:type="spellEnd"/>
            <w:r>
              <w:rPr>
                <w:sz w:val="22"/>
                <w:szCs w:val="22"/>
              </w:rPr>
              <w:t xml:space="preserve"> (ТГФ/пиридин/вода)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фосфит-</w:t>
            </w:r>
            <w:proofErr w:type="spellStart"/>
            <w:r>
              <w:rPr>
                <w:sz w:val="22"/>
                <w:szCs w:val="22"/>
              </w:rPr>
              <w:t>триэфир</w:t>
            </w:r>
            <w:proofErr w:type="spellEnd"/>
            <w:r>
              <w:rPr>
                <w:sz w:val="22"/>
                <w:szCs w:val="22"/>
              </w:rPr>
              <w:t xml:space="preserve"> → устойчивый </w:t>
            </w:r>
            <w:proofErr w:type="spellStart"/>
            <w:r>
              <w:rPr>
                <w:sz w:val="22"/>
                <w:szCs w:val="22"/>
              </w:rPr>
              <w:t>фосфотриэфир</w:t>
            </w:r>
            <w:proofErr w:type="spellEnd"/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повтор цикла N раз → готовая цепь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1.2 — Замкнутый цикл присоединения одного нуклеотидного звена при </w:t>
      </w:r>
      <w:proofErr w:type="spellStart"/>
      <w:r>
        <w:rPr>
          <w:sz w:val="24"/>
          <w:szCs w:val="24"/>
        </w:rPr>
        <w:t>фосфорамидитном</w:t>
      </w:r>
      <w:proofErr w:type="spellEnd"/>
      <w:r>
        <w:rPr>
          <w:sz w:val="24"/>
          <w:szCs w:val="24"/>
        </w:rPr>
        <w:t xml:space="preserve"> синтезе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1.3 — Реагенты и назначение стадий синтетического цикла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4100"/>
        <w:gridCol w:w="3000"/>
      </w:tblGrid>
      <w:tr w:rsidR="00DD7CA5">
        <w:tc>
          <w:tcPr>
            <w:tcW w:w="2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Стадия</w:t>
            </w:r>
          </w:p>
        </w:tc>
        <w:tc>
          <w:tcPr>
            <w:tcW w:w="41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Основной 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Результат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Детритилирование</w:t>
            </w:r>
            <w:proofErr w:type="spellEnd"/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 xml:space="preserve">ТХУ или ДХУ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освобождение 5′-ОН-группы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Конденсация</w:t>
            </w:r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фосфорамидит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тетразоловый</w:t>
            </w:r>
            <w:proofErr w:type="spellEnd"/>
            <w:r>
              <w:rPr>
                <w:sz w:val="22"/>
                <w:szCs w:val="22"/>
              </w:rPr>
              <w:t xml:space="preserve"> активатор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межнуклеотидная</w:t>
            </w:r>
            <w:proofErr w:type="spellEnd"/>
            <w:r>
              <w:rPr>
                <w:sz w:val="22"/>
                <w:szCs w:val="22"/>
              </w:rPr>
              <w:t xml:space="preserve"> фосфит-связь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Кэпирование</w:t>
            </w:r>
            <w:proofErr w:type="spellEnd"/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блокировка дефектных цепей</w:t>
            </w:r>
          </w:p>
        </w:tc>
      </w:tr>
      <w:tr w:rsidR="00DD7CA5"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Окисление</w:t>
            </w:r>
          </w:p>
        </w:tc>
        <w:tc>
          <w:tcPr>
            <w:tcW w:w="41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иод</w:t>
            </w:r>
            <w:proofErr w:type="spellEnd"/>
            <w:r>
              <w:rPr>
                <w:sz w:val="22"/>
                <w:szCs w:val="22"/>
              </w:rPr>
              <w:t xml:space="preserve"> в ТГФ/пиридине/воде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стабильный фосфатный остов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7" w:name="_Toc231841098"/>
      <w:r>
        <w:t>1.5 Система защиты функциональных групп</w:t>
      </w:r>
      <w:bookmarkEnd w:id="7"/>
    </w:p>
    <w:p w:rsidR="00DD7CA5" w:rsidRDefault="009169FC">
      <w:pPr>
        <w:ind w:firstLine="709"/>
        <w:jc w:val="both"/>
      </w:pPr>
      <w:r>
        <w:t>Нуклеозиды содержат несколько химически активных групп, которые при синтезе могут вступать в нежелательные побочные реакции. Чтобы направить процесс строго по заданному пути, эти группы временно закрывают защитными группировками, удаляемыми на определённых этапах. Различают временную защиту 5′-гидроксильной функции, снимаемую в каждом цикле, и постоянную защиту, удаляемую только после завершения всей сборки [5, 15].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5′-гидроксильная группа защищается </w:t>
      </w:r>
      <w:proofErr w:type="spellStart"/>
      <w:r>
        <w:t>кислотолабильной</w:t>
      </w:r>
      <w:proofErr w:type="spellEnd"/>
      <w:r>
        <w:t xml:space="preserve"> </w:t>
      </w:r>
      <w:proofErr w:type="spellStart"/>
      <w:r>
        <w:t>диметокситритильной</w:t>
      </w:r>
      <w:proofErr w:type="spellEnd"/>
      <w:r>
        <w:t xml:space="preserve"> группой и освобождается на стадии </w:t>
      </w:r>
      <w:proofErr w:type="spellStart"/>
      <w:r>
        <w:t>детритилирования</w:t>
      </w:r>
      <w:proofErr w:type="spellEnd"/>
      <w:r>
        <w:t xml:space="preserve"> каждого цикла;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t>экзоциклические</w:t>
      </w:r>
      <w:proofErr w:type="spellEnd"/>
      <w:r>
        <w:t xml:space="preserve"> аминогруппы азотистых оснований (</w:t>
      </w:r>
      <w:proofErr w:type="spellStart"/>
      <w:r>
        <w:t>аденина</w:t>
      </w:r>
      <w:proofErr w:type="spellEnd"/>
      <w:r>
        <w:t xml:space="preserve">, </w:t>
      </w:r>
      <w:proofErr w:type="spellStart"/>
      <w:r>
        <w:t>цитозина</w:t>
      </w:r>
      <w:proofErr w:type="spellEnd"/>
      <w:r>
        <w:t xml:space="preserve">, гуанина) закрываются </w:t>
      </w:r>
      <w:proofErr w:type="spellStart"/>
      <w:r>
        <w:t>ацильными</w:t>
      </w:r>
      <w:proofErr w:type="spellEnd"/>
      <w:r>
        <w:t xml:space="preserve"> группами — </w:t>
      </w:r>
      <w:proofErr w:type="spellStart"/>
      <w:r>
        <w:t>бензоильной</w:t>
      </w:r>
      <w:proofErr w:type="spellEnd"/>
      <w:r>
        <w:t xml:space="preserve"> или </w:t>
      </w:r>
      <w:proofErr w:type="spellStart"/>
      <w:r>
        <w:t>изобутирильной</w:t>
      </w:r>
      <w:proofErr w:type="spellEnd"/>
      <w:r>
        <w:t>, устойчивыми в условиях синтеза;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фосфатный остов защищается 2-цианэтильной группой, предотвращающей побочные реакции по атому фосфора;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lastRenderedPageBreak/>
        <w:t>постоянные защитные группы удаляются на финальной стадии обработкой концентрированным раствором аммиака, одновременно отщепляющего цепь от носителя.</w:t>
      </w:r>
    </w:p>
    <w:p w:rsidR="00DD7CA5" w:rsidRDefault="009169FC">
      <w:pPr>
        <w:ind w:firstLine="709"/>
        <w:jc w:val="both"/>
      </w:pPr>
      <w:r>
        <w:t xml:space="preserve">Продуманная система ортогональной защиты — одно из условий высокой точности </w:t>
      </w:r>
      <w:proofErr w:type="spellStart"/>
      <w:r>
        <w:t>фосфорамидитного</w:t>
      </w:r>
      <w:proofErr w:type="spellEnd"/>
      <w:r>
        <w:t xml:space="preserve"> синтеза: каждая группа снимается в строго определённый момент и не затрагивает остальные [5, 15].</w:t>
      </w:r>
    </w:p>
    <w:p w:rsidR="00DD7CA5" w:rsidRDefault="009169FC">
      <w:pPr>
        <w:pStyle w:val="2"/>
        <w:spacing w:before="200" w:after="160"/>
        <w:ind w:firstLine="709"/>
      </w:pPr>
      <w:bookmarkStart w:id="8" w:name="_Toc231841099"/>
      <w:r>
        <w:t>1.6 Твердофазные носители</w:t>
      </w:r>
      <w:bookmarkEnd w:id="8"/>
    </w:p>
    <w:p w:rsidR="00DD7CA5" w:rsidRDefault="009169FC">
      <w:pPr>
        <w:ind w:firstLine="709"/>
        <w:jc w:val="both"/>
      </w:pPr>
      <w:r>
        <w:t xml:space="preserve">В качестве нерастворимой подложки чаще всего применяют стекло с контролируемым размером пор и полимерные носители на основе полистирола. Стекло с контролируемым размером пор обладает жёсткой структурой, химической инертностью и равномерным распределением пор, что обеспечивает хороший доступ реагентов к растущей цепи. Размер пор подбирают в зависимости от планируемой длины </w:t>
      </w:r>
      <w:proofErr w:type="spellStart"/>
      <w:r>
        <w:t>олигонуклеотида</w:t>
      </w:r>
      <w:proofErr w:type="spellEnd"/>
      <w:r>
        <w:t xml:space="preserve">: для более длинных последовательностей используют носители с порами большего диаметра [6, 12]. Стартовый нуклеозид присоединяют к носителю через расщепляемый линкер — как правило, </w:t>
      </w:r>
      <w:proofErr w:type="spellStart"/>
      <w:r>
        <w:t>сукцинильный</w:t>
      </w:r>
      <w:proofErr w:type="spellEnd"/>
      <w:r>
        <w:t xml:space="preserve"> мостик, который разрывается при финальной аммиачной обработке.</w:t>
      </w:r>
    </w:p>
    <w:p w:rsidR="00DD7CA5" w:rsidRDefault="009169FC">
      <w:pPr>
        <w:pStyle w:val="2"/>
        <w:spacing w:before="200" w:after="160"/>
        <w:ind w:firstLine="709"/>
      </w:pPr>
      <w:bookmarkStart w:id="9" w:name="_Toc231841100"/>
      <w:r>
        <w:t xml:space="preserve">1.7 Деблокирование и снятие </w:t>
      </w:r>
      <w:proofErr w:type="spellStart"/>
      <w:r>
        <w:t>олигонуклеотида</w:t>
      </w:r>
      <w:proofErr w:type="spellEnd"/>
      <w:r>
        <w:t xml:space="preserve"> с носителя</w:t>
      </w:r>
      <w:bookmarkEnd w:id="9"/>
    </w:p>
    <w:p w:rsidR="00DD7CA5" w:rsidRDefault="009169FC">
      <w:pPr>
        <w:ind w:firstLine="709"/>
        <w:jc w:val="both"/>
      </w:pPr>
      <w:r>
        <w:t xml:space="preserve">По завершении всех циклов синтеза собранную цепь необходимо отделить от твердофазного носителя и удалить постоянные защитные группы. Обе задачи решаются обработкой концентрированным водным раствором аммиака (нередко при повышенной температуре). Аммиак разрывает </w:t>
      </w:r>
      <w:proofErr w:type="spellStart"/>
      <w:r>
        <w:t>сукцинильный</w:t>
      </w:r>
      <w:proofErr w:type="spellEnd"/>
      <w:r>
        <w:t xml:space="preserve"> линкер, освобождая </w:t>
      </w:r>
      <w:proofErr w:type="spellStart"/>
      <w:r>
        <w:t>олигонуклеотид</w:t>
      </w:r>
      <w:proofErr w:type="spellEnd"/>
      <w:r>
        <w:t xml:space="preserve">, и одновременно отщепляет </w:t>
      </w:r>
      <w:proofErr w:type="spellStart"/>
      <w:r>
        <w:t>ацильную</w:t>
      </w:r>
      <w:proofErr w:type="spellEnd"/>
      <w:r>
        <w:t xml:space="preserve"> защиту оснований и </w:t>
      </w:r>
      <w:proofErr w:type="spellStart"/>
      <w:r>
        <w:t>цианэтильную</w:t>
      </w:r>
      <w:proofErr w:type="spellEnd"/>
      <w:r>
        <w:t xml:space="preserve"> защиту фосфатов [5, 6]. В результате получают неочищенную смесь, содержащую целевой продукт, а также укороченные цепи и низкомолекулярные примеси, которые удаляют на стадии очистки.</w:t>
      </w:r>
    </w:p>
    <w:p w:rsidR="00DD7CA5" w:rsidRDefault="009169FC">
      <w:pPr>
        <w:pStyle w:val="2"/>
        <w:spacing w:before="200" w:after="160"/>
        <w:ind w:firstLine="709"/>
      </w:pPr>
      <w:bookmarkStart w:id="10" w:name="_Toc231841101"/>
      <w:r>
        <w:lastRenderedPageBreak/>
        <w:t>1.8 Методы выделения и анализа чистоты продукта</w:t>
      </w:r>
      <w:bookmarkEnd w:id="10"/>
    </w:p>
    <w:p w:rsidR="00DD7CA5" w:rsidRDefault="009169FC">
      <w:pPr>
        <w:ind w:firstLine="709"/>
        <w:jc w:val="both"/>
      </w:pPr>
      <w:r>
        <w:t xml:space="preserve">Неочищенная смесь после деблокирования содержит примеси, способные снижать эффективность и специфичность полимеразной цепной реакции. Поэтому </w:t>
      </w:r>
      <w:proofErr w:type="spellStart"/>
      <w:r>
        <w:t>олигонуклеотиды</w:t>
      </w:r>
      <w:proofErr w:type="spellEnd"/>
      <w:r>
        <w:t>, предназначенные для точной диагностики, подвергают очистке. Наиболее распространены два подхода [6, 10].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Электрофоретическая очистка в полиакриламидном геле. </w:t>
      </w:r>
      <w:r>
        <w:t>Разделение молекул по длине в денатурирующем геле позволяет выделить фракцию строго заданного размера и отделить укороченные продукты. Метод обеспечивает высокую разрешающую способность, особенно для длинных олигонуклеотидов.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rPr>
          <w:b/>
        </w:rPr>
        <w:t>Обращённо</w:t>
      </w:r>
      <w:proofErr w:type="spellEnd"/>
      <w:r>
        <w:rPr>
          <w:b/>
        </w:rPr>
        <w:t xml:space="preserve">-фазовая высокоэффективная жидкостная хроматография. </w:t>
      </w:r>
      <w:r>
        <w:t>Разделение основано на различиях в гидрофобности молекул; метод даёт высокую степень очистки и хорошо поддаётся автоматизации, что важно при работе с чувствительными мишенями, такими как ген TOP2A.</w:t>
      </w:r>
    </w:p>
    <w:p w:rsidR="00DD7CA5" w:rsidRDefault="009169FC">
      <w:pPr>
        <w:ind w:firstLine="709"/>
        <w:jc w:val="both"/>
      </w:pPr>
      <w:r>
        <w:t xml:space="preserve">Контроль качества готового препарата проводят </w:t>
      </w:r>
      <w:proofErr w:type="spellStart"/>
      <w:r>
        <w:t>спектрофотометрически</w:t>
      </w:r>
      <w:proofErr w:type="spellEnd"/>
      <w:r>
        <w:t>: по поглощению при длине волны 260 нанометров определяют концентрацию нуклеиновой кислоты, а соотношение поглощений при 260 и 280 нанометрах характеризует чистоту. Для подтверждения молекулярной массы и состава применяют масс-спектрометрию, а для оценки гомогенности — аналитический электрофорез или аналитическую хроматографию [6, 10].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1.4 — Сравнительная характеристика методов очистки олигонуклеотидов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000"/>
        <w:gridCol w:w="3400"/>
      </w:tblGrid>
      <w:tr w:rsidR="00DD7CA5">
        <w:tc>
          <w:tcPr>
            <w:tcW w:w="2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Принцип разделения</w:t>
            </w:r>
          </w:p>
        </w:tc>
        <w:tc>
          <w:tcPr>
            <w:tcW w:w="34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Особенности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Электрофорез в ПААГ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длине цепи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высокое разрешение, выделение точной длины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Обращённо</w:t>
            </w:r>
            <w:proofErr w:type="spellEnd"/>
            <w:r>
              <w:rPr>
                <w:sz w:val="22"/>
                <w:szCs w:val="22"/>
              </w:rPr>
              <w:t>-фазовая ВЭЖХ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гидрофобности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высокая чистота, автоматизация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Обессоливание (гель-фильтрация)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 размеру молекул</w:t>
            </w:r>
          </w:p>
        </w:tc>
        <w:tc>
          <w:tcPr>
            <w:tcW w:w="3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удаление солей и низкомолекулярных примесей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lastRenderedPageBreak/>
        <w:t xml:space="preserve">Таким образом, </w:t>
      </w:r>
      <w:proofErr w:type="spellStart"/>
      <w:r>
        <w:t>фосфорамидитный</w:t>
      </w:r>
      <w:proofErr w:type="spellEnd"/>
      <w:r>
        <w:t xml:space="preserve"> твердофазный синтез в сочетании с продуманной системой защитных групп и эффективными методами очистки позволяет получать </w:t>
      </w:r>
      <w:proofErr w:type="spellStart"/>
      <w:r>
        <w:t>олигонуклеотиды</w:t>
      </w:r>
      <w:proofErr w:type="spellEnd"/>
      <w:r>
        <w:t xml:space="preserve"> требуемо</w:t>
      </w:r>
      <w:r w:rsidR="006B3FCC">
        <w:t>й длины, чистоты и качества</w:t>
      </w:r>
      <w:r>
        <w:t xml:space="preserve"> — это необходимое условие надёжного анализа экспрессии гена TOP2A методом полимеразной цепной реакции.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11" w:name="_Toc231841102"/>
      <w:r>
        <w:rPr>
          <w:szCs w:val="32"/>
        </w:rPr>
        <w:lastRenderedPageBreak/>
        <w:t>ГЛАВА 2. ХАРАКТЕРИСТИКА ГЕНА TOP2A ЧЕЛОВЕКА</w:t>
      </w:r>
      <w:bookmarkEnd w:id="11"/>
    </w:p>
    <w:p w:rsidR="00DD7CA5" w:rsidRDefault="009169FC">
      <w:pPr>
        <w:pStyle w:val="2"/>
        <w:spacing w:before="200" w:after="160"/>
        <w:ind w:firstLine="709"/>
      </w:pPr>
      <w:bookmarkStart w:id="12" w:name="_Toc231841103"/>
      <w:r>
        <w:t>2.1 ДНК-</w:t>
      </w:r>
      <w:proofErr w:type="spellStart"/>
      <w:r>
        <w:t>топоизомеразы</w:t>
      </w:r>
      <w:proofErr w:type="spellEnd"/>
      <w:r>
        <w:t>: общая классификация и функции</w:t>
      </w:r>
      <w:bookmarkEnd w:id="12"/>
    </w:p>
    <w:p w:rsidR="00DD7CA5" w:rsidRDefault="009169FC">
      <w:pPr>
        <w:ind w:firstLine="709"/>
        <w:jc w:val="both"/>
      </w:pPr>
      <w:r>
        <w:t>ДНК-</w:t>
      </w:r>
      <w:proofErr w:type="spellStart"/>
      <w:r>
        <w:t>топоизомеразы</w:t>
      </w:r>
      <w:proofErr w:type="spellEnd"/>
      <w:r>
        <w:t xml:space="preserve"> — это ферменты, управляющие пространственной (топологической) организацией двойной спирали. В ходе репликации, транскрипции и упаковки хроматина перед движущейся ферментной машиной возникает избыточное положительное скручивание, а позади — отрицательное; кроме того, образуются переплетения и узлы. </w:t>
      </w:r>
      <w:proofErr w:type="spellStart"/>
      <w:r>
        <w:t>Топоизомеразы</w:t>
      </w:r>
      <w:proofErr w:type="spellEnd"/>
      <w:r>
        <w:t xml:space="preserve"> устраняют эти напряжения, внося временные разрывы в цепи ДНК и затем восстанавливая их [1, 7].</w:t>
      </w:r>
    </w:p>
    <w:p w:rsidR="00DD7CA5" w:rsidRDefault="009169FC">
      <w:pPr>
        <w:ind w:firstLine="709"/>
        <w:jc w:val="both"/>
      </w:pPr>
      <w:r>
        <w:t xml:space="preserve">По механизму действия выделяют два основных типа. </w:t>
      </w:r>
      <w:proofErr w:type="spellStart"/>
      <w:r>
        <w:t>Топоизомеразы</w:t>
      </w:r>
      <w:proofErr w:type="spellEnd"/>
      <w:r>
        <w:t xml:space="preserve"> I типа вносят разрыв в одну цепь и изменяют степень скручивания пошагово, не требуя затрат энергии </w:t>
      </w:r>
      <w:proofErr w:type="spellStart"/>
      <w:r>
        <w:t>аденозинтрифосфата</w:t>
      </w:r>
      <w:proofErr w:type="spellEnd"/>
      <w:r>
        <w:t xml:space="preserve">. </w:t>
      </w:r>
      <w:proofErr w:type="spellStart"/>
      <w:r>
        <w:t>Топоизомеразы</w:t>
      </w:r>
      <w:proofErr w:type="spellEnd"/>
      <w:r>
        <w:t xml:space="preserve"> II типа вносят </w:t>
      </w:r>
      <w:proofErr w:type="spellStart"/>
      <w:r>
        <w:t>двухцепочечный</w:t>
      </w:r>
      <w:proofErr w:type="spellEnd"/>
      <w:r>
        <w:t xml:space="preserve"> разрыв, проводят сквозь него другой участок двойной спирали и затем сшивают разрыв; этот процесс сопряжён с гидролизом </w:t>
      </w:r>
      <w:proofErr w:type="spellStart"/>
      <w:r>
        <w:t>аденозинтрифосфата</w:t>
      </w:r>
      <w:proofErr w:type="spellEnd"/>
      <w:r>
        <w:t xml:space="preserve"> [1, 7, 8]. Именно к </w:t>
      </w:r>
      <w:proofErr w:type="spellStart"/>
      <w:r>
        <w:t>топоизомеразам</w:t>
      </w:r>
      <w:proofErr w:type="spellEnd"/>
      <w:r>
        <w:t xml:space="preserve"> II типа относится фермент, кодируемый геном TOP2A.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2.1 — Сопоставление </w:t>
      </w:r>
      <w:proofErr w:type="spellStart"/>
      <w:r>
        <w:rPr>
          <w:sz w:val="24"/>
          <w:szCs w:val="24"/>
        </w:rPr>
        <w:t>топоизомераз</w:t>
      </w:r>
      <w:proofErr w:type="spellEnd"/>
      <w:r>
        <w:rPr>
          <w:sz w:val="24"/>
          <w:szCs w:val="24"/>
        </w:rPr>
        <w:t xml:space="preserve"> I и II типов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00"/>
        <w:gridCol w:w="3200"/>
        <w:gridCol w:w="3200"/>
      </w:tblGrid>
      <w:tr w:rsidR="00DD7CA5">
        <w:tc>
          <w:tcPr>
            <w:tcW w:w="2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Признак</w:t>
            </w:r>
          </w:p>
        </w:tc>
        <w:tc>
          <w:tcPr>
            <w:tcW w:w="3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Топоизомераза</w:t>
            </w:r>
            <w:proofErr w:type="spellEnd"/>
            <w:r>
              <w:rPr>
                <w:b/>
                <w:sz w:val="22"/>
                <w:szCs w:val="22"/>
              </w:rPr>
              <w:t xml:space="preserve"> I</w:t>
            </w:r>
          </w:p>
        </w:tc>
        <w:tc>
          <w:tcPr>
            <w:tcW w:w="3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Топоизомераза</w:t>
            </w:r>
            <w:proofErr w:type="spellEnd"/>
            <w:r>
              <w:rPr>
                <w:b/>
                <w:sz w:val="22"/>
                <w:szCs w:val="22"/>
              </w:rPr>
              <w:t xml:space="preserve"> II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Тип разрыва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одноцепочечный</w:t>
            </w:r>
            <w:proofErr w:type="spellEnd"/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двухцепочечный</w:t>
            </w:r>
            <w:proofErr w:type="spellEnd"/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Потребность в АТФ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требуется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требуется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Изменение скрученности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пошаговое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блоками по два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Декатенация хроматид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способна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способна</w:t>
            </w:r>
          </w:p>
        </w:tc>
      </w:tr>
      <w:tr w:rsidR="00DD7CA5">
        <w:tc>
          <w:tcPr>
            <w:tcW w:w="2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Гены у человека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TOP1, TOP1MT</w:t>
            </w:r>
          </w:p>
        </w:tc>
        <w:tc>
          <w:tcPr>
            <w:tcW w:w="3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TOP2A, TOP2B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13" w:name="_Toc231841104"/>
      <w:r>
        <w:t>2.2 Структура и хромосомная локализация гена TOP2A</w:t>
      </w:r>
      <w:bookmarkEnd w:id="13"/>
    </w:p>
    <w:p w:rsidR="00DD7CA5" w:rsidRDefault="009169FC">
      <w:pPr>
        <w:ind w:firstLine="709"/>
        <w:jc w:val="both"/>
      </w:pPr>
      <w:r>
        <w:t xml:space="preserve">Ген TOP2A человека расположен в длинном плече семнадцатой хромосомы, в области 17q21.2 [9]. Он имеет сложную </w:t>
      </w:r>
      <w:proofErr w:type="spellStart"/>
      <w:r>
        <w:t>экзон-интронную</w:t>
      </w:r>
      <w:proofErr w:type="spellEnd"/>
      <w:r>
        <w:t xml:space="preserve"> организацию, включающую порядка тридцати пяти </w:t>
      </w:r>
      <w:proofErr w:type="spellStart"/>
      <w:r>
        <w:t>экзонов</w:t>
      </w:r>
      <w:proofErr w:type="spellEnd"/>
      <w:r>
        <w:t xml:space="preserve"> и тридцати четырёх </w:t>
      </w:r>
      <w:proofErr w:type="spellStart"/>
      <w:r>
        <w:t>интронов</w:t>
      </w:r>
      <w:proofErr w:type="spellEnd"/>
      <w:r>
        <w:t>, а его общая протяжённость составляет около тридцати тысяч пар нуклеотидов. Продукт гена — белок ДНК-</w:t>
      </w:r>
      <w:proofErr w:type="spellStart"/>
      <w:r>
        <w:t>топоизомераза</w:t>
      </w:r>
      <w:proofErr w:type="spellEnd"/>
      <w:r>
        <w:t xml:space="preserve"> II альфа </w:t>
      </w:r>
      <w:r>
        <w:lastRenderedPageBreak/>
        <w:t xml:space="preserve">— имеет молекулярную массу приблизительно 170 </w:t>
      </w:r>
      <w:proofErr w:type="spellStart"/>
      <w:r>
        <w:t>килодальтон</w:t>
      </w:r>
      <w:proofErr w:type="spellEnd"/>
      <w:r>
        <w:t xml:space="preserve">. Высокая эволюционная консервативность последовательности подчёркивает фундаментальную значимость этого гена для жизнедеятельности </w:t>
      </w:r>
      <w:proofErr w:type="spellStart"/>
      <w:r>
        <w:t>эукариотической</w:t>
      </w:r>
      <w:proofErr w:type="spellEnd"/>
      <w:r>
        <w:t xml:space="preserve"> клетки [1, 7, 9].</w:t>
      </w:r>
    </w:p>
    <w:p w:rsidR="00DD7CA5" w:rsidRDefault="009169FC">
      <w:pPr>
        <w:ind w:firstLine="709"/>
        <w:jc w:val="both"/>
      </w:pPr>
      <w:r>
        <w:t xml:space="preserve">Примечательно, что ген TOP2A локализован в той же области хромосомы, что и онкоген ERBB2 (HER2), часто </w:t>
      </w:r>
      <w:proofErr w:type="spellStart"/>
      <w:r>
        <w:t>амплифицируемый</w:t>
      </w:r>
      <w:proofErr w:type="spellEnd"/>
      <w:r>
        <w:t xml:space="preserve"> при раке молочной железы. Близкое расположение этих генов имеет клиническое значение: совместная амплификация участка может одновременно затрагивать оба локуса, что учитывают при выборе схемы лечения [11, 15].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2.2 ]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база данных NCBI </w:t>
            </w:r>
            <w:proofErr w:type="spellStart"/>
            <w:r>
              <w:rPr>
                <w:sz w:val="22"/>
                <w:szCs w:val="22"/>
              </w:rPr>
              <w:t>Gene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Ensembl</w:t>
            </w:r>
            <w:proofErr w:type="spellEnd"/>
            <w:r>
              <w:rPr>
                <w:sz w:val="22"/>
                <w:szCs w:val="22"/>
              </w:rPr>
              <w:t xml:space="preserve"> (страница гена TOP2A), браузер генома UCSC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2.2 — Цитогенетическая карта семнадцатой хромосомы человека с указанием локуса гена TOP2A (17q21.2)</w:t>
      </w:r>
    </w:p>
    <w:p w:rsidR="00DD7CA5" w:rsidRDefault="009169FC">
      <w:pPr>
        <w:pStyle w:val="2"/>
        <w:spacing w:before="200" w:after="160"/>
        <w:ind w:firstLine="709"/>
      </w:pPr>
      <w:bookmarkStart w:id="14" w:name="_Toc231841105"/>
      <w:r>
        <w:t xml:space="preserve">2.3 </w:t>
      </w:r>
      <w:proofErr w:type="spellStart"/>
      <w:r>
        <w:t>Изоформы</w:t>
      </w:r>
      <w:proofErr w:type="spellEnd"/>
      <w:r>
        <w:t xml:space="preserve"> </w:t>
      </w:r>
      <w:proofErr w:type="spellStart"/>
      <w:r>
        <w:t>топоизомеразы</w:t>
      </w:r>
      <w:proofErr w:type="spellEnd"/>
      <w:r>
        <w:t xml:space="preserve"> II: альфа и бета</w:t>
      </w:r>
      <w:bookmarkEnd w:id="14"/>
    </w:p>
    <w:p w:rsidR="00DD7CA5" w:rsidRDefault="009169FC">
      <w:pPr>
        <w:ind w:firstLine="709"/>
        <w:jc w:val="both"/>
      </w:pPr>
      <w:r>
        <w:t xml:space="preserve">У человека </w:t>
      </w:r>
      <w:proofErr w:type="spellStart"/>
      <w:r>
        <w:t>топоизомераза</w:t>
      </w:r>
      <w:proofErr w:type="spellEnd"/>
      <w:r>
        <w:t xml:space="preserve"> II представлена двумя </w:t>
      </w:r>
      <w:proofErr w:type="spellStart"/>
      <w:r>
        <w:t>изоформами</w:t>
      </w:r>
      <w:proofErr w:type="spellEnd"/>
      <w:r>
        <w:t xml:space="preserve">, которые кодируются разными генами — TOP2A и TOP2B. Несмотря на значительное сходство аминокислотных последовательностей и общий каталитический механизм, </w:t>
      </w:r>
      <w:proofErr w:type="spellStart"/>
      <w:r>
        <w:t>изоформы</w:t>
      </w:r>
      <w:proofErr w:type="spellEnd"/>
      <w:r>
        <w:t xml:space="preserve"> различаются регуляцией и биологической ролью. </w:t>
      </w:r>
      <w:proofErr w:type="spellStart"/>
      <w:r>
        <w:t>Изоформа</w:t>
      </w:r>
      <w:proofErr w:type="spellEnd"/>
      <w:r>
        <w:t xml:space="preserve"> альфа тесно связана с делением клетки: её количество резко возрастает в фазах синтеза и митоза и падает в покоящихся клетках. </w:t>
      </w:r>
      <w:proofErr w:type="spellStart"/>
      <w:r>
        <w:t>Изоформа</w:t>
      </w:r>
      <w:proofErr w:type="spellEnd"/>
      <w:r>
        <w:t xml:space="preserve"> бета </w:t>
      </w:r>
      <w:proofErr w:type="spellStart"/>
      <w:r>
        <w:t>экспрессируется</w:t>
      </w:r>
      <w:proofErr w:type="spellEnd"/>
      <w:r>
        <w:t xml:space="preserve"> относительно постоянно, независимо от фазы цикла, и участвует прежде всего в транскрипции, в том числе в дифференцированных, неделящихся клетках [1, 7].</w:t>
      </w:r>
    </w:p>
    <w:p w:rsidR="00DD7CA5" w:rsidRDefault="009169FC">
      <w:pPr>
        <w:ind w:firstLine="709"/>
        <w:jc w:val="both"/>
      </w:pPr>
      <w:r>
        <w:t xml:space="preserve">Именно жёсткая привязка </w:t>
      </w:r>
      <w:proofErr w:type="spellStart"/>
      <w:r>
        <w:t>изоформы</w:t>
      </w:r>
      <w:proofErr w:type="spellEnd"/>
      <w:r>
        <w:t xml:space="preserve"> альфа к пролиферации делает ген TOP2A удобным маркером скорости деления клеток и обосновывает интерес к измерению уровня его матричной РНК в опухолевой ткани.</w:t>
      </w:r>
    </w:p>
    <w:p w:rsidR="00DD7CA5" w:rsidRDefault="009169FC">
      <w:pPr>
        <w:pStyle w:val="2"/>
        <w:spacing w:before="200" w:after="160"/>
        <w:ind w:firstLine="709"/>
      </w:pPr>
      <w:bookmarkStart w:id="15" w:name="_Toc231841106"/>
      <w:r>
        <w:t xml:space="preserve">2.4 Каталитический механизм </w:t>
      </w:r>
      <w:proofErr w:type="spellStart"/>
      <w:r>
        <w:t>топоизомеразы</w:t>
      </w:r>
      <w:proofErr w:type="spellEnd"/>
      <w:r>
        <w:t xml:space="preserve"> II</w:t>
      </w:r>
      <w:bookmarkEnd w:id="15"/>
    </w:p>
    <w:p w:rsidR="00DD7CA5" w:rsidRDefault="009169FC">
      <w:pPr>
        <w:ind w:firstLine="709"/>
        <w:jc w:val="both"/>
      </w:pPr>
      <w:r>
        <w:t xml:space="preserve">Фермент функционирует в виде </w:t>
      </w:r>
      <w:proofErr w:type="spellStart"/>
      <w:r>
        <w:t>гомодимера</w:t>
      </w:r>
      <w:proofErr w:type="spellEnd"/>
      <w:r>
        <w:t xml:space="preserve"> и осуществляет согласованный цикл, в ходе которого одна молекула двойной спирали (так </w:t>
      </w:r>
      <w:r>
        <w:lastRenderedPageBreak/>
        <w:t xml:space="preserve">называемый G-сегмент) временно разрезается по обеим цепям, а через образовавшийся проход переносится другой участок ДНК (T-сегмент). Последовательность событий включает связывание G-сегмента, захват T-сегмента, присоединение и гидролиз </w:t>
      </w:r>
      <w:proofErr w:type="spellStart"/>
      <w:r>
        <w:t>аденозинтрифосфата</w:t>
      </w:r>
      <w:proofErr w:type="spellEnd"/>
      <w:r>
        <w:t xml:space="preserve">, внесение </w:t>
      </w:r>
      <w:proofErr w:type="spellStart"/>
      <w:r>
        <w:t>двухцепочечного</w:t>
      </w:r>
      <w:proofErr w:type="spellEnd"/>
      <w:r>
        <w:t xml:space="preserve"> разрыва с образованием ковалентного промежуточного комплекса фермент—ДНК, проведение T-сегмента через разрыв и последующее восстановление целостности цепей [7, 8].</w:t>
      </w:r>
    </w:p>
    <w:p w:rsidR="00DD7CA5" w:rsidRDefault="009169FC">
      <w:pPr>
        <w:ind w:firstLine="709"/>
        <w:jc w:val="both"/>
      </w:pPr>
      <w:r>
        <w:t xml:space="preserve">В момент разрыва </w:t>
      </w:r>
      <w:proofErr w:type="spellStart"/>
      <w:r>
        <w:t>тирозиновые</w:t>
      </w:r>
      <w:proofErr w:type="spellEnd"/>
      <w:r>
        <w:t xml:space="preserve"> остатки активного центра </w:t>
      </w:r>
      <w:proofErr w:type="spellStart"/>
      <w:r>
        <w:t>ковалентно</w:t>
      </w:r>
      <w:proofErr w:type="spellEnd"/>
      <w:r>
        <w:t xml:space="preserve"> связываются с 5′-концами разрезанных цепей, образуя так называемый расщепляемый комплекс. В норме этот комплекс существует кратковременно и быстро разрешается восстановлением связей. Однако именно он является мишенью ряда противоопухолевых препаратов, искусственно стабилизирующих разрыв (об этом — в разделе 2.6).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2.3 ]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обзорные статьи J. C. </w:t>
            </w:r>
            <w:proofErr w:type="spellStart"/>
            <w:r>
              <w:rPr>
                <w:sz w:val="22"/>
                <w:szCs w:val="22"/>
              </w:rPr>
              <w:t>Wang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Molecular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Biology</w:t>
            </w:r>
            <w:proofErr w:type="spellEnd"/>
            <w:r>
              <w:rPr>
                <w:sz w:val="22"/>
                <w:szCs w:val="22"/>
              </w:rPr>
              <w:t xml:space="preserve">) или J. M. </w:t>
            </w:r>
            <w:proofErr w:type="spellStart"/>
            <w:r>
              <w:rPr>
                <w:sz w:val="22"/>
                <w:szCs w:val="22"/>
              </w:rPr>
              <w:t>Berger</w:t>
            </w:r>
            <w:proofErr w:type="spellEnd"/>
            <w:r>
              <w:rPr>
                <w:sz w:val="22"/>
                <w:szCs w:val="22"/>
              </w:rPr>
              <w:t xml:space="preserve">; иллюстрации механизма </w:t>
            </w:r>
            <w:proofErr w:type="spellStart"/>
            <w:r>
              <w:rPr>
                <w:sz w:val="22"/>
                <w:szCs w:val="22"/>
              </w:rPr>
              <w:t>Топо</w:t>
            </w:r>
            <w:proofErr w:type="spellEnd"/>
            <w:r>
              <w:rPr>
                <w:sz w:val="22"/>
                <w:szCs w:val="22"/>
              </w:rPr>
              <w:t xml:space="preserve"> II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2.3 — Схема каталитического цикла </w:t>
      </w:r>
      <w:proofErr w:type="spellStart"/>
      <w:r>
        <w:rPr>
          <w:sz w:val="24"/>
          <w:szCs w:val="24"/>
        </w:rPr>
        <w:t>топоизомеразы</w:t>
      </w:r>
      <w:proofErr w:type="spellEnd"/>
      <w:r>
        <w:rPr>
          <w:sz w:val="24"/>
          <w:szCs w:val="24"/>
        </w:rPr>
        <w:t xml:space="preserve"> II: внесение </w:t>
      </w:r>
      <w:proofErr w:type="spellStart"/>
      <w:r>
        <w:rPr>
          <w:sz w:val="24"/>
          <w:szCs w:val="24"/>
        </w:rPr>
        <w:t>двухцепочечного</w:t>
      </w:r>
      <w:proofErr w:type="spellEnd"/>
      <w:r>
        <w:rPr>
          <w:sz w:val="24"/>
          <w:szCs w:val="24"/>
        </w:rPr>
        <w:t xml:space="preserve"> разрыва G-сегмента и проведение через него T-сегмента</w:t>
      </w:r>
    </w:p>
    <w:p w:rsidR="00DD7CA5" w:rsidRDefault="009169FC">
      <w:pPr>
        <w:pStyle w:val="2"/>
        <w:spacing w:before="200" w:after="160"/>
        <w:ind w:firstLine="709"/>
      </w:pPr>
      <w:bookmarkStart w:id="16" w:name="_Toc231841107"/>
      <w:r>
        <w:t xml:space="preserve">2.5 Роль </w:t>
      </w:r>
      <w:proofErr w:type="spellStart"/>
      <w:r>
        <w:t>топоизомеразы</w:t>
      </w:r>
      <w:proofErr w:type="spellEnd"/>
      <w:r>
        <w:t xml:space="preserve"> II альфа в клеточном цикле</w:t>
      </w:r>
      <w:bookmarkEnd w:id="16"/>
    </w:p>
    <w:p w:rsidR="00DD7CA5" w:rsidRDefault="009169FC">
      <w:pPr>
        <w:ind w:firstLine="709"/>
        <w:jc w:val="both"/>
      </w:pPr>
      <w:r>
        <w:t xml:space="preserve">Биологическая роль </w:t>
      </w:r>
      <w:proofErr w:type="spellStart"/>
      <w:r>
        <w:t>изоформы</w:t>
      </w:r>
      <w:proofErr w:type="spellEnd"/>
      <w:r>
        <w:t xml:space="preserve"> альфа особенно заметна на двух этапах клеточного цикла. В фазе синтеза фермент снимает положительное </w:t>
      </w:r>
      <w:proofErr w:type="spellStart"/>
      <w:r>
        <w:t>сверхскручивание</w:t>
      </w:r>
      <w:proofErr w:type="spellEnd"/>
      <w:r>
        <w:t xml:space="preserve">, накапливающееся перед </w:t>
      </w:r>
      <w:proofErr w:type="spellStart"/>
      <w:r>
        <w:t>репликативной</w:t>
      </w:r>
      <w:proofErr w:type="spellEnd"/>
      <w:r>
        <w:t xml:space="preserve"> вилкой, и тем самым предотвращает её остановку, обеспечивая бесперебойное копирование генетического материала [7]. В фазе митоза </w:t>
      </w:r>
      <w:proofErr w:type="spellStart"/>
      <w:r>
        <w:t>топоизомераза</w:t>
      </w:r>
      <w:proofErr w:type="spellEnd"/>
      <w:r>
        <w:t xml:space="preserve"> II альфа необходима для конденсации хроматина и, что особенно важно, для разъединения (декатенации) переплетённых сестринских хроматид перед их расхождением в анафазе [8].</w:t>
      </w:r>
    </w:p>
    <w:p w:rsidR="00DD7CA5" w:rsidRDefault="009169FC">
      <w:pPr>
        <w:ind w:firstLine="709"/>
        <w:jc w:val="both"/>
      </w:pPr>
      <w:r>
        <w:t xml:space="preserve">Нарушение работы фермента на этих этапах приводит к невозможности корректного разделения хромосом, к их разрывам и перестройкам, а в конечном счёте — к остановке цикла и запуску </w:t>
      </w:r>
      <w:proofErr w:type="spellStart"/>
      <w:r>
        <w:t>апоптоза</w:t>
      </w:r>
      <w:proofErr w:type="spellEnd"/>
      <w:r>
        <w:t xml:space="preserve">. Таким образом, </w:t>
      </w:r>
      <w:proofErr w:type="spellStart"/>
      <w:r>
        <w:lastRenderedPageBreak/>
        <w:t>топоизомераза</w:t>
      </w:r>
      <w:proofErr w:type="spellEnd"/>
      <w:r>
        <w:t xml:space="preserve"> II альфа выступает не просто вспомогательным ферментом, а критически важным компонентом аппарата деления клетки.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2.4 ]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учебные иллюстрации клеточного цикла; обзоры по декатенации хроматид (например, </w:t>
            </w:r>
            <w:proofErr w:type="spellStart"/>
            <w:r>
              <w:rPr>
                <w:sz w:val="22"/>
                <w:szCs w:val="22"/>
              </w:rPr>
              <w:t>Champoux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Annual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Biochemistry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2.4 — Роль </w:t>
      </w:r>
      <w:proofErr w:type="spellStart"/>
      <w:r>
        <w:rPr>
          <w:sz w:val="24"/>
          <w:szCs w:val="24"/>
        </w:rPr>
        <w:t>топоизомеразы</w:t>
      </w:r>
      <w:proofErr w:type="spellEnd"/>
      <w:r>
        <w:rPr>
          <w:sz w:val="24"/>
          <w:szCs w:val="24"/>
        </w:rPr>
        <w:t xml:space="preserve"> II альфа в декатенации сестринских хроматид в фазе митоза</w:t>
      </w:r>
    </w:p>
    <w:p w:rsidR="00DD7CA5" w:rsidRDefault="009169FC">
      <w:pPr>
        <w:pStyle w:val="2"/>
        <w:spacing w:before="200" w:after="160"/>
        <w:ind w:firstLine="709"/>
      </w:pPr>
      <w:bookmarkStart w:id="17" w:name="_Toc231841108"/>
      <w:r>
        <w:t xml:space="preserve">2.6 </w:t>
      </w:r>
      <w:proofErr w:type="spellStart"/>
      <w:r>
        <w:t>Топоизомераза</w:t>
      </w:r>
      <w:proofErr w:type="spellEnd"/>
      <w:r>
        <w:t xml:space="preserve"> II как мишень противоопухолевой терапии</w:t>
      </w:r>
      <w:bookmarkEnd w:id="17"/>
    </w:p>
    <w:p w:rsidR="00DD7CA5" w:rsidRDefault="009169FC">
      <w:pPr>
        <w:ind w:firstLine="709"/>
        <w:jc w:val="both"/>
      </w:pPr>
      <w:r>
        <w:t xml:space="preserve">Высокая активность гена TOP2A — характерная черта быстро пролиферирующих опухолей. Это свойство используется в химиотерапии: ряд широко применяемых препаратов направленно воздействует именно на </w:t>
      </w:r>
      <w:proofErr w:type="spellStart"/>
      <w:r>
        <w:t>топоизомеразу</w:t>
      </w:r>
      <w:proofErr w:type="spellEnd"/>
      <w:r>
        <w:t xml:space="preserve"> II. По механизму действия их разделяют на две группы [2, 11].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Яды </w:t>
      </w:r>
      <w:proofErr w:type="spellStart"/>
      <w:r>
        <w:rPr>
          <w:b/>
        </w:rPr>
        <w:t>топоизомеразы</w:t>
      </w:r>
      <w:proofErr w:type="spellEnd"/>
      <w:r>
        <w:rPr>
          <w:b/>
        </w:rPr>
        <w:t xml:space="preserve">. </w:t>
      </w:r>
      <w:proofErr w:type="spellStart"/>
      <w:r>
        <w:t>Антрациклиновые</w:t>
      </w:r>
      <w:proofErr w:type="spellEnd"/>
      <w:r>
        <w:t xml:space="preserve"> антибиотики (</w:t>
      </w:r>
      <w:proofErr w:type="spellStart"/>
      <w:r>
        <w:t>доксорубицин</w:t>
      </w:r>
      <w:proofErr w:type="spellEnd"/>
      <w:r>
        <w:t xml:space="preserve">, </w:t>
      </w:r>
      <w:proofErr w:type="spellStart"/>
      <w:r>
        <w:t>даунорубицин</w:t>
      </w:r>
      <w:proofErr w:type="spellEnd"/>
      <w:r>
        <w:t xml:space="preserve">) и </w:t>
      </w:r>
      <w:proofErr w:type="spellStart"/>
      <w:r>
        <w:t>этопозид</w:t>
      </w:r>
      <w:proofErr w:type="spellEnd"/>
      <w:r>
        <w:t xml:space="preserve"> стабилизируют расщепляемый комплекс фермент—ДНК, препятствуя восстановлению разрыва. В результате в геноме накапливаются </w:t>
      </w:r>
      <w:proofErr w:type="spellStart"/>
      <w:r>
        <w:t>двухцепочечные</w:t>
      </w:r>
      <w:proofErr w:type="spellEnd"/>
      <w:r>
        <w:t xml:space="preserve"> разрывы, что для активно делящейся клетки оказывается летальным.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Каталитические ингибиторы. </w:t>
      </w:r>
      <w:r>
        <w:t>Эти соединения блокируют ферментативный цикл на других стадиях, не стабилизируя разрыв, и применяются реже.</w:t>
      </w:r>
    </w:p>
    <w:p w:rsidR="00DD7CA5" w:rsidRDefault="009169FC">
      <w:pPr>
        <w:ind w:firstLine="709"/>
        <w:jc w:val="both"/>
      </w:pPr>
      <w:r>
        <w:t xml:space="preserve">Поскольку мишенью лечения является сам фермент, уровень его экспрессии напрямую влияет на эффективность терапии. Высокое содержание </w:t>
      </w:r>
      <w:proofErr w:type="spellStart"/>
      <w:r>
        <w:t>топоизомеразы</w:t>
      </w:r>
      <w:proofErr w:type="spellEnd"/>
      <w:r>
        <w:t xml:space="preserve"> II альфа повышает чувствительность опухоли к ядам фермента, тогда как снижение экспрессии способно приводить к лекарственной устойчивости из-за уменьшения числа молекул-мишеней [2, 11, 15]. Это объясняет практический интерес к количественному измерению матричной РНК TOP2A до начала лечения.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2.5 ]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Рекомендуемый источник: Банк данных белковых структур (PDB) — структуры комплексов </w:t>
            </w:r>
            <w:proofErr w:type="spellStart"/>
            <w:r>
              <w:rPr>
                <w:sz w:val="22"/>
                <w:szCs w:val="22"/>
              </w:rPr>
              <w:t>Топо</w:t>
            </w:r>
            <w:proofErr w:type="spellEnd"/>
            <w:r>
              <w:rPr>
                <w:sz w:val="22"/>
                <w:szCs w:val="22"/>
              </w:rPr>
              <w:t xml:space="preserve"> II с </w:t>
            </w:r>
            <w:proofErr w:type="spellStart"/>
            <w:r>
              <w:rPr>
                <w:sz w:val="22"/>
                <w:szCs w:val="22"/>
              </w:rPr>
              <w:t>этопозидом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доксорубицином</w:t>
            </w:r>
            <w:proofErr w:type="spellEnd"/>
            <w:r>
              <w:rPr>
                <w:sz w:val="22"/>
                <w:szCs w:val="22"/>
              </w:rPr>
              <w:t xml:space="preserve">; визуализация в </w:t>
            </w:r>
            <w:proofErr w:type="spellStart"/>
            <w:r>
              <w:rPr>
                <w:sz w:val="22"/>
                <w:szCs w:val="22"/>
              </w:rPr>
              <w:t>PyMOL</w:t>
            </w:r>
            <w:proofErr w:type="spellEnd"/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lastRenderedPageBreak/>
        <w:t xml:space="preserve">Рисунок 2.5 — Молекулярная модель взаимодействия </w:t>
      </w:r>
      <w:proofErr w:type="spellStart"/>
      <w:r>
        <w:rPr>
          <w:sz w:val="24"/>
          <w:szCs w:val="24"/>
        </w:rPr>
        <w:t>антрациклинового</w:t>
      </w:r>
      <w:proofErr w:type="spellEnd"/>
      <w:r>
        <w:rPr>
          <w:sz w:val="24"/>
          <w:szCs w:val="24"/>
        </w:rPr>
        <w:t xml:space="preserve"> антибиотика с комплексом ДНК—</w:t>
      </w:r>
      <w:proofErr w:type="spellStart"/>
      <w:r>
        <w:rPr>
          <w:sz w:val="24"/>
          <w:szCs w:val="24"/>
        </w:rPr>
        <w:t>топоизомераза</w:t>
      </w:r>
      <w:proofErr w:type="spellEnd"/>
      <w:r>
        <w:rPr>
          <w:sz w:val="24"/>
          <w:szCs w:val="24"/>
        </w:rPr>
        <w:t xml:space="preserve"> II</w:t>
      </w:r>
    </w:p>
    <w:p w:rsidR="00DD7CA5" w:rsidRDefault="009169FC">
      <w:pPr>
        <w:pStyle w:val="2"/>
        <w:spacing w:before="200" w:after="160"/>
        <w:ind w:firstLine="709"/>
      </w:pPr>
      <w:bookmarkStart w:id="18" w:name="_Toc231841109"/>
      <w:r>
        <w:t>2.7 Экспрессия гена TOP2A в норме и при патологии</w:t>
      </w:r>
      <w:bookmarkEnd w:id="18"/>
    </w:p>
    <w:p w:rsidR="00DD7CA5" w:rsidRDefault="009169FC">
      <w:pPr>
        <w:ind w:firstLine="709"/>
        <w:jc w:val="both"/>
      </w:pPr>
      <w:r>
        <w:t>Уровень экспрессии гена TOP2A жёстко связан с пролиферативным статусом ткани. В здоровом организме высокая активность гена наблюдается только в постоянно обновляющихся популяциях клеток — в базальном слое эпителия, в кроветворной ткани костного мозга, в герминативных центрах. В клетках, находящихся в состоянии покоя (фаза G0), экспрессия практически не определяется [11].</w:t>
      </w:r>
    </w:p>
    <w:p w:rsidR="00DD7CA5" w:rsidRDefault="009169FC">
      <w:pPr>
        <w:ind w:firstLine="709"/>
        <w:jc w:val="both"/>
      </w:pPr>
      <w:r>
        <w:t xml:space="preserve">При злокачественной трансформации </w:t>
      </w:r>
      <w:proofErr w:type="spellStart"/>
      <w:r>
        <w:t>гиперэкспрессия</w:t>
      </w:r>
      <w:proofErr w:type="spellEnd"/>
      <w:r>
        <w:t xml:space="preserve"> TOP2A нередко обусловлена амплификацией гена либо нарушением транскрипционного контроля. Повышенный уровень матричной РНК этого гена выявляют при раке молочной железы, лёгкого и прямой кишки; он коррелирует с высокой степенью злокачественности и активной пролиферацией [11, 15]. В клинической практике уровень белка </w:t>
      </w:r>
      <w:proofErr w:type="spellStart"/>
      <w:r>
        <w:t>топоизомеразы</w:t>
      </w:r>
      <w:proofErr w:type="spellEnd"/>
      <w:r>
        <w:t xml:space="preserve"> II альфа нередко оценивают </w:t>
      </w:r>
      <w:proofErr w:type="spellStart"/>
      <w:r>
        <w:t>иммуногистохимически</w:t>
      </w:r>
      <w:proofErr w:type="spellEnd"/>
      <w:r>
        <w:t>: в опухолевой ткани наблюдается интенсивное ядерное окрашивание, тогда как в нормальной ткани окрашивание слабое или отсутствует.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F2F2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proofErr w:type="gramStart"/>
            <w:r>
              <w:rPr>
                <w:b/>
                <w:sz w:val="24"/>
                <w:szCs w:val="24"/>
              </w:rPr>
              <w:t>[ МЕСТО</w:t>
            </w:r>
            <w:proofErr w:type="gramEnd"/>
            <w:r>
              <w:rPr>
                <w:b/>
                <w:sz w:val="24"/>
                <w:szCs w:val="24"/>
              </w:rPr>
              <w:t xml:space="preserve"> ДЛЯ РИСУНКА 2.6 ]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Вставьте изображение из проверенного источника.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Рекомендуемый источник: атласы экспрессии белков (</w:t>
            </w:r>
            <w:proofErr w:type="spellStart"/>
            <w:r>
              <w:rPr>
                <w:sz w:val="22"/>
                <w:szCs w:val="22"/>
              </w:rPr>
              <w:t>Human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Protein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Atlas</w:t>
            </w:r>
            <w:proofErr w:type="spellEnd"/>
            <w:r>
              <w:rPr>
                <w:sz w:val="22"/>
                <w:szCs w:val="22"/>
              </w:rPr>
              <w:t>, раздел TOP2A — патология) либо собственные микрофотографии</w:t>
            </w:r>
          </w:p>
        </w:tc>
      </w:tr>
    </w:tbl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2.6 — Сравнение экспрессии белка TOP2A в нормальной и опухолевой тканях (</w:t>
      </w:r>
      <w:proofErr w:type="spellStart"/>
      <w:r>
        <w:rPr>
          <w:sz w:val="24"/>
          <w:szCs w:val="24"/>
        </w:rPr>
        <w:t>иммуногистохимическое</w:t>
      </w:r>
      <w:proofErr w:type="spellEnd"/>
      <w:r>
        <w:rPr>
          <w:sz w:val="24"/>
          <w:szCs w:val="24"/>
        </w:rPr>
        <w:t xml:space="preserve"> окрашивание)</w:t>
      </w:r>
    </w:p>
    <w:p w:rsidR="00DD7CA5" w:rsidRDefault="009169FC">
      <w:pPr>
        <w:ind w:firstLine="709"/>
        <w:jc w:val="both"/>
      </w:pPr>
      <w:r>
        <w:t xml:space="preserve">Сопоставление нормальной и опухолевой ткани на </w:t>
      </w:r>
      <w:proofErr w:type="spellStart"/>
      <w:r>
        <w:t>иммуногистохимических</w:t>
      </w:r>
      <w:proofErr w:type="spellEnd"/>
      <w:r>
        <w:t xml:space="preserve"> препаратах наглядно демонстрирует разницу: в опухоли ядра клеток интенсивно окрашены за счёт избытка фермента, необходимого для постоянного </w:t>
      </w:r>
      <w:proofErr w:type="spellStart"/>
      <w:r>
        <w:t>расплетания</w:t>
      </w:r>
      <w:proofErr w:type="spellEnd"/>
      <w:r>
        <w:t xml:space="preserve"> ДНК при быстром делении, тогда как в </w:t>
      </w:r>
      <w:proofErr w:type="spellStart"/>
      <w:r>
        <w:t>гистологически</w:t>
      </w:r>
      <w:proofErr w:type="spellEnd"/>
      <w:r>
        <w:t xml:space="preserve"> спокойной ткани накопление белка не выявляется. Аналогичная картина характерна и для других маркеров нарушенной регуляции клеточного цикла, что подтверждает связь </w:t>
      </w:r>
      <w:proofErr w:type="spellStart"/>
      <w:r>
        <w:t>гиперэкспрессии</w:t>
      </w:r>
      <w:proofErr w:type="spellEnd"/>
      <w:r>
        <w:t xml:space="preserve"> TOP2A с агрессивным течением заболевания [11, 15].</w:t>
      </w:r>
    </w:p>
    <w:p w:rsidR="00DD7CA5" w:rsidRDefault="009169FC">
      <w:pPr>
        <w:pStyle w:val="2"/>
        <w:spacing w:before="200" w:after="160"/>
        <w:ind w:firstLine="709"/>
      </w:pPr>
      <w:bookmarkStart w:id="19" w:name="_Toc231841110"/>
      <w:r>
        <w:lastRenderedPageBreak/>
        <w:t xml:space="preserve">2.8 Ген TOP2A как прогностический и предсказательный </w:t>
      </w:r>
      <w:proofErr w:type="spellStart"/>
      <w:r>
        <w:t>биомаркер</w:t>
      </w:r>
      <w:bookmarkEnd w:id="19"/>
      <w:proofErr w:type="spellEnd"/>
    </w:p>
    <w:p w:rsidR="00DD7CA5" w:rsidRDefault="009169FC">
      <w:pPr>
        <w:ind w:firstLine="709"/>
        <w:jc w:val="both"/>
      </w:pPr>
      <w:r>
        <w:t xml:space="preserve">Совокупность приведённых данных позволяет рассматривать TOP2A как </w:t>
      </w:r>
      <w:proofErr w:type="spellStart"/>
      <w:r>
        <w:t>биомаркер</w:t>
      </w:r>
      <w:proofErr w:type="spellEnd"/>
      <w:r>
        <w:t xml:space="preserve"> двойного назначения. Как прогностический маркер он характеризует скорость роста опухоли и связан со степенью её злокачественности. Как предсказательный маркер он отражает вероятный ответ на терапию ядами </w:t>
      </w:r>
      <w:proofErr w:type="spellStart"/>
      <w:r>
        <w:t>топоизомеразы</w:t>
      </w:r>
      <w:proofErr w:type="spellEnd"/>
      <w:r>
        <w:t xml:space="preserve">: статус гена (амплификация, </w:t>
      </w:r>
      <w:proofErr w:type="spellStart"/>
      <w:r>
        <w:t>делеция</w:t>
      </w:r>
      <w:proofErr w:type="spellEnd"/>
      <w:r>
        <w:t xml:space="preserve"> или нормальное число копий) и уровень его экспрессии помогают индивидуализировать выбор схемы лечения [2, 11, 15]. Именно поэтому надёжное количественное измерение матричной РНК TOP2A методом полимеразной цепной реакции имеет столь большое практическое значение и служит связующим звеном с третьей главой настоящей работы.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0" w:name="_Toc231841111"/>
      <w:r>
        <w:rPr>
          <w:szCs w:val="32"/>
        </w:rPr>
        <w:lastRenderedPageBreak/>
        <w:t>ГЛАВА 3. ПОЛИМЕРАЗНАЯ ЦЕПНАЯ РЕАКЦИЯ И АНАЛИЗ ЭКСПРЕССИИ ГЕНОВ</w:t>
      </w:r>
      <w:bookmarkEnd w:id="20"/>
    </w:p>
    <w:p w:rsidR="00DD7CA5" w:rsidRDefault="009169FC">
      <w:pPr>
        <w:pStyle w:val="2"/>
        <w:spacing w:before="200" w:after="160"/>
        <w:ind w:firstLine="709"/>
      </w:pPr>
      <w:bookmarkStart w:id="21" w:name="_Toc231841112"/>
      <w:r>
        <w:t>3.1 История создания метода и его значение для генетики</w:t>
      </w:r>
      <w:bookmarkEnd w:id="21"/>
    </w:p>
    <w:p w:rsidR="00DD7CA5" w:rsidRDefault="009169FC">
      <w:pPr>
        <w:ind w:firstLine="709"/>
        <w:jc w:val="both"/>
      </w:pPr>
      <w:r>
        <w:t xml:space="preserve">Полимеразная цепная реакция была предложена К. </w:t>
      </w:r>
      <w:proofErr w:type="spellStart"/>
      <w:r>
        <w:t>Мюллисом</w:t>
      </w:r>
      <w:proofErr w:type="spellEnd"/>
      <w:r>
        <w:t xml:space="preserve"> в 1983 году и стала одним из самых значимых методических достижений молекулярной биологии двадцатого века. Идея метода состоит в многократном ферментативном копировании заранее выбранного участка ДНК, благодаря чему его количество увеличивается в геометрической прогрессии — за несколько десятков циклов концентрация целевого фрагмента возрастает в миллиарды раз [3, 14]. Это позволило обнаруживать и анализировать даже единичные молекулы нуклеиновых кислот, что прежде было невозможным.</w:t>
      </w:r>
    </w:p>
    <w:p w:rsidR="00DD7CA5" w:rsidRDefault="009169FC">
      <w:pPr>
        <w:ind w:firstLine="709"/>
        <w:jc w:val="both"/>
      </w:pPr>
      <w:r>
        <w:t xml:space="preserve">Решающим шагом, обеспечившим широкое распространение метода, стало применение термостабильной ДНК-полимеразы, выделенной из термофильных микроорганизмов. Такой фермент выдерживает многократное нагревание до температур денатурации ДНК и не требует добавления новой порции после каждого цикла, что сделало возможной полную автоматизацию реакции в программируемом </w:t>
      </w:r>
      <w:proofErr w:type="spellStart"/>
      <w:r>
        <w:t>термоциклере</w:t>
      </w:r>
      <w:proofErr w:type="spellEnd"/>
      <w:r>
        <w:t xml:space="preserve"> [3]. Для исследований гена TOP2A полимеразная цепная реакция служит основным инструментом, позволяющим выявить и количественно оценить даже небольшое содержание матричной РНК в образце ткани.</w:t>
      </w:r>
    </w:p>
    <w:p w:rsidR="00DD7CA5" w:rsidRDefault="009169FC">
      <w:pPr>
        <w:pStyle w:val="2"/>
        <w:spacing w:before="200" w:after="160"/>
        <w:ind w:firstLine="709"/>
      </w:pPr>
      <w:bookmarkStart w:id="22" w:name="_Toc231841113"/>
      <w:r>
        <w:t>3.2 Компоненты реакционной смеси</w:t>
      </w:r>
      <w:bookmarkEnd w:id="22"/>
    </w:p>
    <w:p w:rsidR="00DD7CA5" w:rsidRDefault="009169FC">
      <w:pPr>
        <w:ind w:firstLine="709"/>
        <w:jc w:val="both"/>
      </w:pPr>
      <w:r>
        <w:t>Для проведения реакции необходим набор обязательных компонентов, каждый из которых выполняет определённую функцию. Их состав и назначение приведены в таблице 3.1.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3.1 — Основные компоненты реакционной смеси для 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00"/>
        <w:gridCol w:w="5300"/>
      </w:tblGrid>
      <w:tr w:rsidR="00DD7CA5">
        <w:tc>
          <w:tcPr>
            <w:tcW w:w="4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Компонент</w:t>
            </w:r>
          </w:p>
        </w:tc>
        <w:tc>
          <w:tcPr>
            <w:tcW w:w="5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Назначение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Матрица (ДНК или </w:t>
            </w:r>
            <w:proofErr w:type="spellStart"/>
            <w:r>
              <w:rPr>
                <w:sz w:val="23"/>
                <w:szCs w:val="23"/>
              </w:rPr>
              <w:t>кДНК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исходная последовательность для копирования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lastRenderedPageBreak/>
              <w:t xml:space="preserve">Пара </w:t>
            </w:r>
            <w:proofErr w:type="spellStart"/>
            <w:r>
              <w:rPr>
                <w:sz w:val="23"/>
                <w:szCs w:val="23"/>
              </w:rPr>
              <w:t>праймеров</w:t>
            </w:r>
            <w:proofErr w:type="spellEnd"/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задают границы </w:t>
            </w:r>
            <w:proofErr w:type="spellStart"/>
            <w:r>
              <w:rPr>
                <w:sz w:val="23"/>
                <w:szCs w:val="23"/>
              </w:rPr>
              <w:t>амплифицируемого</w:t>
            </w:r>
            <w:proofErr w:type="spellEnd"/>
            <w:r>
              <w:rPr>
                <w:sz w:val="23"/>
                <w:szCs w:val="23"/>
              </w:rPr>
              <w:t xml:space="preserve"> участка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Термостабильная ДНК-полимераза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достраивает новую цепь ДНК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Смесь </w:t>
            </w:r>
            <w:proofErr w:type="spellStart"/>
            <w:r>
              <w:rPr>
                <w:sz w:val="23"/>
                <w:szCs w:val="23"/>
              </w:rPr>
              <w:t>dNTP</w:t>
            </w:r>
            <w:proofErr w:type="spellEnd"/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строительные блоки для синтеза цепи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Ионы магния (Mg2+)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3"/>
                <w:szCs w:val="23"/>
              </w:rPr>
              <w:t>кофактор</w:t>
            </w:r>
            <w:proofErr w:type="spellEnd"/>
            <w:r>
              <w:rPr>
                <w:sz w:val="23"/>
                <w:szCs w:val="23"/>
              </w:rPr>
              <w:t>, необходимый для работы фермента</w:t>
            </w:r>
          </w:p>
        </w:tc>
      </w:tr>
      <w:tr w:rsidR="00DD7CA5"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Буферный раствор</w:t>
            </w:r>
          </w:p>
        </w:tc>
        <w:tc>
          <w:tcPr>
            <w:tcW w:w="5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поддержание оптимального </w:t>
            </w:r>
            <w:proofErr w:type="spellStart"/>
            <w:r>
              <w:rPr>
                <w:sz w:val="23"/>
                <w:szCs w:val="23"/>
              </w:rPr>
              <w:t>pH</w:t>
            </w:r>
            <w:proofErr w:type="spellEnd"/>
            <w:r>
              <w:rPr>
                <w:sz w:val="23"/>
                <w:szCs w:val="23"/>
              </w:rPr>
              <w:t xml:space="preserve"> и ионной силы</w:t>
            </w:r>
            <w:r w:rsidR="00185212">
              <w:rPr>
                <w:sz w:val="23"/>
                <w:szCs w:val="23"/>
              </w:rPr>
              <w:t xml:space="preserve"> (типовой состав: 50–75 мМ трис-HCl или KCl, pH 8,3–8,8; 1,5–3 мМ MgCl2)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Концентрация ионов магния заметно влияет на специфичность и эффективность реакции, поэтому при разработке тест-системы её тщательно оптимизируют. Избыток магния повышает выход, но может приводить к неспецифическому отжигу </w:t>
      </w:r>
      <w:proofErr w:type="spellStart"/>
      <w:r>
        <w:t>праймеров</w:t>
      </w:r>
      <w:proofErr w:type="spellEnd"/>
      <w:r>
        <w:t>, тогда как его недостаток снижает активность полимеразы [13].</w:t>
      </w:r>
    </w:p>
    <w:p w:rsidR="00DD7CA5" w:rsidRDefault="009169FC">
      <w:pPr>
        <w:pStyle w:val="2"/>
        <w:spacing w:before="200" w:after="160"/>
        <w:ind w:firstLine="709"/>
      </w:pPr>
      <w:bookmarkStart w:id="23" w:name="_Toc231841114"/>
      <w:r>
        <w:t>3.3 Этапы термического цикла</w:t>
      </w:r>
      <w:bookmarkEnd w:id="23"/>
    </w:p>
    <w:p w:rsidR="00DD7CA5" w:rsidRDefault="009169FC">
      <w:pPr>
        <w:ind w:firstLine="709"/>
        <w:jc w:val="both"/>
      </w:pPr>
      <w:r>
        <w:t>Амплификация целевого фрагмента, в том числе участка гена TOP2A, достигается за счёт многократного повторения температурного цикла. Каждый цикл состоит из трёх фаз, различающихся температурой [3, 13].</w:t>
      </w:r>
    </w:p>
    <w:p w:rsidR="00DD7CA5" w:rsidRDefault="009169FC">
      <w:pPr>
        <w:ind w:firstLine="709"/>
        <w:jc w:val="both"/>
      </w:pPr>
      <w:r>
        <w:rPr>
          <w:b/>
        </w:rPr>
        <w:t xml:space="preserve">Денатурация. </w:t>
      </w:r>
      <w:r>
        <w:t>Реакционную смесь нагревают до 94–96 °C. При такой температуре водородные связи между комплементарными основаниями разрываются, и двойная спираль расходится на две одиночные цепи, каждая из которых далее служит матрицей.</w:t>
      </w:r>
    </w:p>
    <w:p w:rsidR="00DD7CA5" w:rsidRDefault="009169FC">
      <w:pPr>
        <w:ind w:firstLine="709"/>
        <w:jc w:val="both"/>
      </w:pPr>
      <w:r>
        <w:rPr>
          <w:b/>
        </w:rPr>
        <w:t xml:space="preserve">Отжиг </w:t>
      </w:r>
      <w:proofErr w:type="spellStart"/>
      <w:r>
        <w:rPr>
          <w:b/>
        </w:rPr>
        <w:t>праймеров</w:t>
      </w:r>
      <w:proofErr w:type="spellEnd"/>
      <w:r>
        <w:rPr>
          <w:b/>
        </w:rPr>
        <w:t xml:space="preserve">. </w:t>
      </w:r>
      <w:r>
        <w:t xml:space="preserve">Температуру понижают, как правило, до 55–65 °C. В этих условиях </w:t>
      </w:r>
      <w:proofErr w:type="spellStart"/>
      <w:r>
        <w:t>праймеры</w:t>
      </w:r>
      <w:proofErr w:type="spellEnd"/>
      <w:r>
        <w:t xml:space="preserve"> комплементарно связываются со своими участками на </w:t>
      </w:r>
      <w:proofErr w:type="spellStart"/>
      <w:r>
        <w:t>одноцепочечной</w:t>
      </w:r>
      <w:proofErr w:type="spellEnd"/>
      <w:r>
        <w:t xml:space="preserve"> матрице. Температуру отжига подбирают исходя из температуры плавления </w:t>
      </w:r>
      <w:proofErr w:type="spellStart"/>
      <w:r>
        <w:t>праймеров</w:t>
      </w:r>
      <w:proofErr w:type="spellEnd"/>
      <w:r>
        <w:t>: слишком высокая температура снижает выход, слишком низкая — приводит к неспецифическому связыванию [13, 17].</w:t>
      </w:r>
    </w:p>
    <w:p w:rsidR="00DD7CA5" w:rsidRDefault="009169FC">
      <w:pPr>
        <w:ind w:firstLine="709"/>
        <w:jc w:val="both"/>
      </w:pPr>
      <w:r>
        <w:rPr>
          <w:b/>
        </w:rPr>
        <w:t xml:space="preserve">Элонгация (синтез). </w:t>
      </w:r>
      <w:r>
        <w:t xml:space="preserve">При температуре около 72 °C, оптимальной для термостабильной полимеразы, фермент достраивает новую цепь от 3′-конца </w:t>
      </w:r>
      <w:proofErr w:type="spellStart"/>
      <w:r>
        <w:t>праймера</w:t>
      </w:r>
      <w:proofErr w:type="spellEnd"/>
      <w:r>
        <w:t>, присоединяя нуклеотиды в соответствии с матрицей. За один цикл число копий целевого фрагмента примерно удваивается.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F2DCDB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ДЕНАТУРАЦИЯ — 94–96 °C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разрыв водородных связей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lastRenderedPageBreak/>
              <w:t>двойная спираль → две одиночные цепи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lastRenderedPageBreak/>
        <w:t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EBF1DE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ОТЖИГ ПРАЙМЕРОВ — 55–65 °C</w:t>
            </w:r>
          </w:p>
          <w:p w:rsidR="00DD7CA5" w:rsidRDefault="009169FC">
            <w:pPr>
              <w:spacing w:line="259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праймеры</w:t>
            </w:r>
            <w:proofErr w:type="spellEnd"/>
            <w:r>
              <w:rPr>
                <w:sz w:val="22"/>
                <w:szCs w:val="22"/>
              </w:rPr>
              <w:t xml:space="preserve"> связываются с матрицей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 xml:space="preserve">температура зависит от </w:t>
            </w:r>
            <w:proofErr w:type="spellStart"/>
            <w:r>
              <w:rPr>
                <w:sz w:val="22"/>
                <w:szCs w:val="22"/>
              </w:rPr>
              <w:t>Tm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праймеров</w:t>
            </w:r>
            <w:proofErr w:type="spellEnd"/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</w:t>
      </w:r>
    </w:p>
    <w:tbl>
      <w:tblPr>
        <w:tblW w:w="9300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DD7CA5">
        <w:trPr>
          <w:jc w:val="center"/>
        </w:trPr>
        <w:tc>
          <w:tcPr>
            <w:tcW w:w="9300" w:type="dxa"/>
            <w:shd w:val="clear" w:color="auto" w:fill="DCE6F1"/>
            <w:vAlign w:val="center"/>
          </w:tcPr>
          <w:p w:rsidR="00DD7CA5" w:rsidRDefault="009169FC">
            <w:pPr>
              <w:spacing w:after="20" w:line="276" w:lineRule="auto"/>
              <w:jc w:val="center"/>
            </w:pPr>
            <w:r>
              <w:rPr>
                <w:b/>
                <w:sz w:val="24"/>
                <w:szCs w:val="24"/>
              </w:rPr>
              <w:t>ЭЛОНГАЦИЯ — ~72 °C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полимераза достраивает новую цепь</w:t>
            </w:r>
          </w:p>
          <w:p w:rsidR="00DD7CA5" w:rsidRDefault="009169FC">
            <w:pPr>
              <w:spacing w:line="259" w:lineRule="auto"/>
              <w:jc w:val="center"/>
            </w:pPr>
            <w:r>
              <w:rPr>
                <w:sz w:val="22"/>
                <w:szCs w:val="22"/>
              </w:rPr>
              <w:t>число копий удваивается</w:t>
            </w:r>
          </w:p>
        </w:tc>
      </w:tr>
    </w:tbl>
    <w:p w:rsidR="00DD7CA5" w:rsidRDefault="009169FC">
      <w:pPr>
        <w:jc w:val="center"/>
      </w:pPr>
      <w:r>
        <w:rPr>
          <w:b/>
          <w:sz w:val="24"/>
          <w:szCs w:val="24"/>
        </w:rPr>
        <w:t>↓ повтор 30–40 циклов → экспоненциальное накопление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3.2 — Температурные стадии одного цикла полимеразной цепной реакции</w:t>
      </w:r>
    </w:p>
    <w:p w:rsidR="00DD7CA5" w:rsidRDefault="009169FC">
      <w:pPr>
        <w:ind w:firstLine="709"/>
        <w:jc w:val="both"/>
      </w:pPr>
      <w:r>
        <w:t>Цикл повторяют 30–40 раз. В первые циклы накопление продукта идёт экспоненциально, однако по мере расходования реагентов и накопления продукта реакция выходит на плато. Это обстоятельство принципиально важно для количественного анализа: достоверную оценку исходного количества матрицы дают именно ранние, экспоненциальные циклы.</w:t>
      </w:r>
    </w:p>
    <w:p w:rsidR="00DD7CA5" w:rsidRDefault="009169FC">
      <w:pPr>
        <w:pStyle w:val="2"/>
        <w:spacing w:before="200" w:after="160"/>
        <w:ind w:firstLine="709"/>
      </w:pPr>
      <w:bookmarkStart w:id="24" w:name="_Toc231841115"/>
      <w:r>
        <w:t>3.4 Разновидности полимеразной цепной реакции</w:t>
      </w:r>
      <w:bookmarkEnd w:id="24"/>
    </w:p>
    <w:p w:rsidR="00DD7CA5" w:rsidRDefault="009169FC">
      <w:pPr>
        <w:ind w:firstLine="709"/>
        <w:jc w:val="both"/>
      </w:pPr>
      <w:r>
        <w:t>Для решения различных задач разработан ряд модификаций метода. Применительно к анализу экспрессии гена TOP2A наибольшее значение имеют следующие варианты.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ПЦР с обратной транскрипцией (ОТ-ПЦР). </w:t>
      </w:r>
      <w:r>
        <w:t>Информация об экспрессии гена содержится в матричной РНК, тогда как полимераза работает с ДНК. Поэтому сначала на матрице РНК с помощью фермента обратной транскриптазы синтезируют комплементарную ДНК, которая затем служит матрицей для обычной амплификации [4, 12].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ПЦР в реальном времени (количественная ПЦР). </w:t>
      </w:r>
      <w:r>
        <w:t>Накопление продукта регистрируют непосредственно по ходу реакции с помощью флуоресцентных красителей или зондов. Это позволяет не просто установить факт наличия последовательности, но и точно измерить её исходное количество [4, 16].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Цифровая капельная ПЦР. </w:t>
      </w:r>
      <w:r>
        <w:t xml:space="preserve">Реакционную смесь разделяют на тысячи </w:t>
      </w:r>
      <w:proofErr w:type="spellStart"/>
      <w:r>
        <w:t>микрокапель</w:t>
      </w:r>
      <w:proofErr w:type="spellEnd"/>
      <w:r>
        <w:t xml:space="preserve">, в каждой из которых реакция идёт независимо. Подсчёт </w:t>
      </w:r>
      <w:r>
        <w:lastRenderedPageBreak/>
        <w:t>положительных капель даёт абсолютное число молекул матрицы без построения калибровочной кривой; метод отличается высокой чувствительностью.</w:t>
      </w:r>
    </w:p>
    <w:p w:rsidR="00DD7CA5" w:rsidRDefault="009169FC">
      <w:pPr>
        <w:pStyle w:val="2"/>
        <w:spacing w:before="200" w:after="160"/>
        <w:ind w:firstLine="709"/>
      </w:pPr>
      <w:bookmarkStart w:id="25" w:name="_Toc231841116"/>
      <w:r>
        <w:t xml:space="preserve">3.5 Методы </w:t>
      </w:r>
      <w:proofErr w:type="spellStart"/>
      <w:r>
        <w:t>детекции</w:t>
      </w:r>
      <w:proofErr w:type="spellEnd"/>
      <w:r>
        <w:t xml:space="preserve"> в ПЦР реального времени</w:t>
      </w:r>
      <w:bookmarkEnd w:id="25"/>
    </w:p>
    <w:p w:rsidR="00DD7CA5" w:rsidRDefault="009169FC">
      <w:pPr>
        <w:ind w:firstLine="709"/>
        <w:jc w:val="both"/>
      </w:pPr>
      <w:r>
        <w:t xml:space="preserve">В количественной ПЦР применяют два основных подхода к регистрации сигнала. Первый основан на </w:t>
      </w:r>
      <w:proofErr w:type="spellStart"/>
      <w:r>
        <w:t>интеркалирующих</w:t>
      </w:r>
      <w:proofErr w:type="spellEnd"/>
      <w:r>
        <w:t xml:space="preserve"> красителях, которые флуоресцируют при встраивании в </w:t>
      </w:r>
      <w:proofErr w:type="spellStart"/>
      <w:r>
        <w:t>двухцепочечную</w:t>
      </w:r>
      <w:proofErr w:type="spellEnd"/>
      <w:r>
        <w:t xml:space="preserve"> ДНК; интенсивность свечения растёт пропорционально количеству накопленного продукта. Метод прост и недорог, но требует контроля специфичности, поскольку краситель связывается с любой </w:t>
      </w:r>
      <w:proofErr w:type="spellStart"/>
      <w:r>
        <w:t>двухцепочечной</w:t>
      </w:r>
      <w:proofErr w:type="spellEnd"/>
      <w:r>
        <w:t xml:space="preserve"> ДНК, включая неспецифические продукты и </w:t>
      </w:r>
      <w:proofErr w:type="spellStart"/>
      <w:r>
        <w:t>димеры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 xml:space="preserve"> [4, 16].</w:t>
      </w:r>
    </w:p>
    <w:p w:rsidR="00DD7CA5" w:rsidRDefault="009169FC">
      <w:pPr>
        <w:ind w:firstLine="709"/>
        <w:jc w:val="both"/>
      </w:pPr>
      <w:r>
        <w:t xml:space="preserve">Второй подход использует флуоресцентно-меченые </w:t>
      </w:r>
      <w:proofErr w:type="spellStart"/>
      <w:r>
        <w:t>гибридизационные</w:t>
      </w:r>
      <w:proofErr w:type="spellEnd"/>
      <w:r>
        <w:t xml:space="preserve"> зонды, комплементарные внутреннему участку </w:t>
      </w:r>
      <w:proofErr w:type="spellStart"/>
      <w:r>
        <w:t>ампликона</w:t>
      </w:r>
      <w:proofErr w:type="spellEnd"/>
      <w:r>
        <w:t xml:space="preserve">. Пока зонд цел, флуоресценция подавлена за счёт расположенного рядом гасителя; в ходе элонгации полимераза разрушает зонд, и </w:t>
      </w:r>
      <w:proofErr w:type="spellStart"/>
      <w:r>
        <w:t>флуорофор</w:t>
      </w:r>
      <w:proofErr w:type="spellEnd"/>
      <w:r>
        <w:t xml:space="preserve"> начинает светиться. Поскольку сигнал возникает только при связывании зонда со строго определённой последовательностью, этот метод обеспечивает более высокую специфичность и позволяет одновременно анализировать несколько мишеней [4, 16].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3.3 — Сравнение методов </w:t>
      </w:r>
      <w:proofErr w:type="spellStart"/>
      <w:r>
        <w:rPr>
          <w:sz w:val="24"/>
          <w:szCs w:val="24"/>
        </w:rPr>
        <w:t>детекции</w:t>
      </w:r>
      <w:proofErr w:type="spellEnd"/>
      <w:r>
        <w:rPr>
          <w:sz w:val="24"/>
          <w:szCs w:val="24"/>
        </w:rPr>
        <w:t xml:space="preserve"> в количественной 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3300"/>
        <w:gridCol w:w="3300"/>
      </w:tblGrid>
      <w:tr w:rsidR="00DD7CA5">
        <w:tc>
          <w:tcPr>
            <w:tcW w:w="27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Признак</w:t>
            </w:r>
          </w:p>
        </w:tc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Интеркалирующий</w:t>
            </w:r>
            <w:proofErr w:type="spellEnd"/>
            <w:r>
              <w:rPr>
                <w:b/>
                <w:sz w:val="22"/>
                <w:szCs w:val="22"/>
              </w:rPr>
              <w:t xml:space="preserve"> краситель</w:t>
            </w:r>
          </w:p>
        </w:tc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sz w:val="22"/>
                <w:szCs w:val="22"/>
              </w:rPr>
              <w:t>Гибридизационный</w:t>
            </w:r>
            <w:proofErr w:type="spellEnd"/>
            <w:r>
              <w:rPr>
                <w:b/>
                <w:sz w:val="22"/>
                <w:szCs w:val="22"/>
              </w:rPr>
              <w:t xml:space="preserve"> зонд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Специфичность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ниже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выше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Стоимость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ниже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выше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Мультиплекс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невозможен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возможен</w:t>
            </w:r>
          </w:p>
        </w:tc>
      </w:tr>
      <w:tr w:rsidR="00DD7CA5">
        <w:tc>
          <w:tcPr>
            <w:tcW w:w="27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Контроль продукта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анализ кривой плавления</w:t>
            </w:r>
          </w:p>
        </w:tc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не требуется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pStyle w:val="2"/>
        <w:spacing w:before="200" w:after="160"/>
        <w:ind w:firstLine="709"/>
      </w:pPr>
      <w:bookmarkStart w:id="26" w:name="_Toc231841117"/>
      <w:r>
        <w:t>3.6 Принципы количественной оценки экспрессии</w:t>
      </w:r>
      <w:bookmarkEnd w:id="26"/>
    </w:p>
    <w:p w:rsidR="00DD7CA5" w:rsidRDefault="009169FC">
      <w:pPr>
        <w:ind w:firstLine="709"/>
        <w:jc w:val="both"/>
      </w:pPr>
      <w:r>
        <w:t xml:space="preserve">Основным измеряемым параметром количественной ПЦР служит пороговый цикл — номер цикла, на котором флуоресцентный сигнал впервые превышает заданный порог. Чем больше исходное количество матрицы, тем </w:t>
      </w:r>
      <w:r>
        <w:lastRenderedPageBreak/>
        <w:t>раньше достигается порог и тем меньше значение порогового цикла. Зависимость порогового цикла от логарифма исходной концентрации матрицы линейна, что и лежит в основе количественного анализа [4, 16].</w:t>
      </w:r>
    </w:p>
    <w:p w:rsidR="00DD7CA5" w:rsidRDefault="009169FC">
      <w:pPr>
        <w:ind w:firstLine="709"/>
        <w:jc w:val="both"/>
      </w:pPr>
      <w:r>
        <w:t xml:space="preserve">Различают абсолютную и относительную количественную оценку. При абсолютном подходе исходное число копий определяют по калибровочной кривой, построенной на серии стандартов известной концентрации. При относительном подходе уровень экспрессии целевого гена сопоставляют с уровнем стабильно </w:t>
      </w:r>
      <w:proofErr w:type="spellStart"/>
      <w:r>
        <w:t>экспрессируемого</w:t>
      </w:r>
      <w:proofErr w:type="spellEnd"/>
      <w:r>
        <w:t xml:space="preserve"> </w:t>
      </w:r>
      <w:proofErr w:type="spellStart"/>
      <w:r>
        <w:t>референсного</w:t>
      </w:r>
      <w:proofErr w:type="spellEnd"/>
      <w:r>
        <w:t xml:space="preserve"> гена, что компенсирует различия в количестве и качестве исходного материала. Для оценки экспрессии TOP2A обычно используют именно относительный подход с нормировкой на </w:t>
      </w:r>
      <w:proofErr w:type="spellStart"/>
      <w:r>
        <w:t>референсные</w:t>
      </w:r>
      <w:proofErr w:type="spellEnd"/>
      <w:r>
        <w:t xml:space="preserve"> гены [4, 16].</w:t>
      </w:r>
    </w:p>
    <w:p w:rsidR="00DD7CA5" w:rsidRDefault="009169FC">
      <w:pPr>
        <w:pStyle w:val="2"/>
        <w:spacing w:before="200" w:after="160"/>
        <w:ind w:firstLine="709"/>
      </w:pPr>
      <w:bookmarkStart w:id="27" w:name="_Toc231841118"/>
      <w:r>
        <w:t xml:space="preserve">3.7 Требования к </w:t>
      </w:r>
      <w:proofErr w:type="spellStart"/>
      <w:r>
        <w:t>праймерам</w:t>
      </w:r>
      <w:proofErr w:type="spellEnd"/>
      <w:r>
        <w:t xml:space="preserve"> для анализа гена TOP2A</w:t>
      </w:r>
      <w:bookmarkEnd w:id="27"/>
    </w:p>
    <w:p w:rsidR="00DD7CA5" w:rsidRDefault="009169FC">
      <w:pPr>
        <w:ind w:firstLine="709"/>
        <w:jc w:val="both"/>
      </w:pPr>
      <w:r>
        <w:t xml:space="preserve">Надёжность всей тест-системы критически зависит от качества </w:t>
      </w:r>
      <w:proofErr w:type="spellStart"/>
      <w:r>
        <w:t>праймеров</w:t>
      </w:r>
      <w:proofErr w:type="spellEnd"/>
      <w:r>
        <w:t xml:space="preserve">, получаемых </w:t>
      </w:r>
      <w:proofErr w:type="spellStart"/>
      <w:r>
        <w:t>фосфорамидитным</w:t>
      </w:r>
      <w:proofErr w:type="spellEnd"/>
      <w:r>
        <w:t xml:space="preserve"> синтезом (глава 1). </w:t>
      </w:r>
      <w:proofErr w:type="spellStart"/>
      <w:r>
        <w:t>Праймеры</w:t>
      </w:r>
      <w:proofErr w:type="spellEnd"/>
      <w:r>
        <w:t xml:space="preserve"> должны быть строго специфичны к последовательности гена TOP2A, чтобы исключить ложноположительные результаты, связанные с амплификацией посторонних последовательностей или близкородственного гена TOP2B [6, 10, 17]. Соблюдение требований к длине, температуре плавления, нуклеотидному составу и отсутствию вторичных структур (рассмотренных подробно в разделе 4.2) обеспечивает высокую чувствительность и </w:t>
      </w:r>
      <w:proofErr w:type="spellStart"/>
      <w:r>
        <w:t>воспроизводимость</w:t>
      </w:r>
      <w:proofErr w:type="spellEnd"/>
      <w:r>
        <w:t xml:space="preserve"> анализа.</w:t>
      </w:r>
    </w:p>
    <w:p w:rsidR="00DD7CA5" w:rsidRDefault="009169FC">
      <w:pPr>
        <w:pStyle w:val="2"/>
        <w:spacing w:before="200" w:after="160"/>
        <w:ind w:firstLine="709"/>
      </w:pPr>
      <w:bookmarkStart w:id="28" w:name="_Toc231841119"/>
      <w:r>
        <w:t>3.8 Контроль качества и источники ошибок</w:t>
      </w:r>
      <w:bookmarkEnd w:id="28"/>
    </w:p>
    <w:p w:rsidR="00DD7CA5" w:rsidRDefault="009169FC">
      <w:pPr>
        <w:ind w:firstLine="709"/>
        <w:jc w:val="both"/>
      </w:pPr>
      <w:r>
        <w:t xml:space="preserve">Достоверность результатов полимеразной цепной реакции обеспечивается системой контролей. Отрицательный контроль без матрицы выявляет загрязнение реагентов посторонней ДНК и образование </w:t>
      </w:r>
      <w:proofErr w:type="spellStart"/>
      <w:r>
        <w:t>димеров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>. Положительный контроль с заведомо известной матрицей подтверждает работоспособность системы. При анализе экспрессии обязателен контроль на отсутствие геномной ДНК, поскольку её примесь способна исказить оценку уровня матричной РНК [4, 16].</w:t>
      </w:r>
    </w:p>
    <w:p w:rsidR="00DD7CA5" w:rsidRDefault="009169FC">
      <w:pPr>
        <w:ind w:firstLine="709"/>
        <w:jc w:val="both"/>
      </w:pPr>
      <w:r>
        <w:lastRenderedPageBreak/>
        <w:t xml:space="preserve">К числу основных источников ошибок относят перекрёстное загрязнение продуктами предыдущих реакций, деградацию РНК при выделении, неполную обратную транскрипцию, присутствие ингибиторов в образце и неоптимальный подбор </w:t>
      </w:r>
      <w:proofErr w:type="spellStart"/>
      <w:r>
        <w:t>праймеров</w:t>
      </w:r>
      <w:proofErr w:type="spellEnd"/>
      <w:r>
        <w:t xml:space="preserve">. Соблюдение принципов организации ПЦР-лаборатории, использование наконечников с фильтром, аккуратная </w:t>
      </w:r>
      <w:proofErr w:type="spellStart"/>
      <w:r>
        <w:t>пробоподготовка</w:t>
      </w:r>
      <w:proofErr w:type="spellEnd"/>
      <w:r>
        <w:t xml:space="preserve"> и продуманный дизайн </w:t>
      </w:r>
      <w:proofErr w:type="spellStart"/>
      <w:r>
        <w:t>праймеров</w:t>
      </w:r>
      <w:proofErr w:type="spellEnd"/>
      <w:r>
        <w:t xml:space="preserve"> позволяют свести эти риски к минимуму и получить воспроизводимые количественные данные по экспрессии гена TOP2A.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29" w:name="_Toc231841120"/>
      <w:r>
        <w:rPr>
          <w:szCs w:val="32"/>
        </w:rPr>
        <w:lastRenderedPageBreak/>
        <w:t>ГЛАВА 4. ЭКСПЕРИМЕНТАЛЬНАЯ ЧАСТЬ</w:t>
      </w:r>
      <w:bookmarkEnd w:id="29"/>
    </w:p>
    <w:p w:rsidR="00DD7CA5" w:rsidRDefault="009169FC">
      <w:pPr>
        <w:pStyle w:val="2"/>
        <w:spacing w:before="200" w:after="160"/>
        <w:ind w:firstLine="709"/>
      </w:pPr>
      <w:bookmarkStart w:id="30" w:name="_Toc231841121"/>
      <w:r>
        <w:t>4.1 Материалы, реагенты и оборудование</w:t>
      </w:r>
      <w:bookmarkEnd w:id="30"/>
    </w:p>
    <w:p w:rsidR="00DD7CA5" w:rsidRDefault="009169FC">
      <w:pPr>
        <w:ind w:firstLine="709"/>
        <w:jc w:val="both"/>
      </w:pPr>
      <w:r>
        <w:t>При выполнении работы использовали реактивы аналитической степени чистоты и специализированное оборудование для автоматизированного синтеза олигонуклеотидов и молекулярно-генетического анализа. Ниже перечислены основные приборы, носители и реагенты.</w:t>
      </w:r>
    </w:p>
    <w:p w:rsidR="00DD7CA5" w:rsidRDefault="009169FC">
      <w:pPr>
        <w:ind w:firstLine="709"/>
        <w:jc w:val="both"/>
      </w:pPr>
      <w:r>
        <w:rPr>
          <w:b/>
        </w:rPr>
        <w:t>Приборы и установки.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Синтез олигонуклеотидов: </w:t>
      </w:r>
      <w:r>
        <w:t>автоматический синтезатор ДНК/РНК (ASM-800, «Биоссет», Россия), оснащённый системой подачи аргона высокой чистоты (99,99 %) для создания инертной атмосферы.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Анализ методом ПЦР: </w:t>
      </w:r>
      <w:r>
        <w:t xml:space="preserve">программируемый </w:t>
      </w:r>
      <w:proofErr w:type="spellStart"/>
      <w:r>
        <w:t>термоциклер</w:t>
      </w:r>
      <w:proofErr w:type="spellEnd"/>
      <w:r>
        <w:t xml:space="preserve"> с системой </w:t>
      </w:r>
      <w:proofErr w:type="spellStart"/>
      <w:r>
        <w:t>детекции</w:t>
      </w:r>
      <w:proofErr w:type="spellEnd"/>
      <w:r>
        <w:t xml:space="preserve"> флуоресценции в реальном времени (CFX96, Bio-Rad, США, либо ДТ-96, «ДНК-Технология», Россия).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Очистка и обессоливание: </w:t>
      </w:r>
      <w:r>
        <w:t xml:space="preserve">система высокоэффективной жидкостной хроматографии с </w:t>
      </w:r>
      <w:proofErr w:type="spellStart"/>
      <w:r>
        <w:t>обращённо</w:t>
      </w:r>
      <w:proofErr w:type="spellEnd"/>
      <w:r>
        <w:t>-фазовой колонкой (Agilent 1260 Infinity, Agilent, США) либо установка вертикального гель-электрофореза.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rPr>
          <w:b/>
        </w:rPr>
        <w:t xml:space="preserve">Вспомогательное оборудование: </w:t>
      </w:r>
      <w:r>
        <w:t>вакуумный концентратор Concentrator plus, Eppendorf, Германия (</w:t>
      </w:r>
      <w:proofErr w:type="spellStart"/>
      <w:r>
        <w:t>центрифужный</w:t>
      </w:r>
      <w:proofErr w:type="spellEnd"/>
      <w:r>
        <w:t xml:space="preserve"> испаритель), спектрофотометр для измерения концентрации нуклеиновых кислот по поглощению при длине волны 260 нанометров (NanoDrop 2000, Thermo Scientific, США), лабораторные </w:t>
      </w:r>
      <w:proofErr w:type="spellStart"/>
      <w:r>
        <w:t>микроцентрифуги</w:t>
      </w:r>
      <w:proofErr w:type="spellEnd"/>
      <w:r>
        <w:t xml:space="preserve"> и дозаторы.</w:t>
      </w:r>
    </w:p>
    <w:p w:rsidR="00DD7CA5" w:rsidRDefault="009169FC">
      <w:pPr>
        <w:ind w:firstLine="709"/>
        <w:jc w:val="both"/>
      </w:pPr>
      <w:r>
        <w:rPr>
          <w:b/>
        </w:rPr>
        <w:t xml:space="preserve">Реагенты для </w:t>
      </w:r>
      <w:proofErr w:type="spellStart"/>
      <w:r>
        <w:rPr>
          <w:b/>
        </w:rPr>
        <w:t>фосфорамидитного</w:t>
      </w:r>
      <w:proofErr w:type="spellEnd"/>
      <w:r>
        <w:rPr>
          <w:b/>
        </w:rPr>
        <w:t xml:space="preserve"> синтеза.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мономеры — нуклеозид-3′-фосфорамидиты с 5′-диметокситритильной защитой, чистотой не менее 99 %;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твердофазный носитель — стекло с контролируемым размером пор (размер пор около 500 ангстрем), </w:t>
      </w:r>
      <w:proofErr w:type="spellStart"/>
      <w:r>
        <w:t>функционализированное</w:t>
      </w:r>
      <w:proofErr w:type="spellEnd"/>
      <w:r>
        <w:t xml:space="preserve"> стартовым нуклеозидом;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активатор — раствор производного </w:t>
      </w:r>
      <w:proofErr w:type="spellStart"/>
      <w:r>
        <w:t>тетразола</w:t>
      </w:r>
      <w:proofErr w:type="spellEnd"/>
      <w:r>
        <w:t xml:space="preserve"> (или </w:t>
      </w:r>
      <w:proofErr w:type="spellStart"/>
      <w:r>
        <w:t>дицианоимидазола</w:t>
      </w:r>
      <w:proofErr w:type="spellEnd"/>
      <w:r>
        <w:t xml:space="preserve">) в безводном </w:t>
      </w:r>
      <w:proofErr w:type="spellStart"/>
      <w:r>
        <w:t>ацетонитриле</w:t>
      </w:r>
      <w:proofErr w:type="spellEnd"/>
      <w:r>
        <w:t>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деблокирующий раствор — раствор трихлоруксусной (или дихлоруксусной) кислоты в </w:t>
      </w:r>
      <w:proofErr w:type="spellStart"/>
      <w:r>
        <w:t>дихлорметане</w:t>
      </w:r>
      <w:proofErr w:type="spellEnd"/>
      <w:r>
        <w:t>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proofErr w:type="spellStart"/>
      <w:r>
        <w:lastRenderedPageBreak/>
        <w:t>кэпирующие</w:t>
      </w:r>
      <w:proofErr w:type="spellEnd"/>
      <w:r>
        <w:t xml:space="preserve"> растворы — уксусный ангидрид в тетрагидрофуране с пиридином и раствор N-</w:t>
      </w:r>
      <w:proofErr w:type="spellStart"/>
      <w:r>
        <w:t>метилимидазола</w:t>
      </w:r>
      <w:proofErr w:type="spellEnd"/>
      <w:r>
        <w:t xml:space="preserve"> в тетрагидрофуране;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окислитель — раствор </w:t>
      </w:r>
      <w:proofErr w:type="spellStart"/>
      <w:r>
        <w:t>иода</w:t>
      </w:r>
      <w:proofErr w:type="spellEnd"/>
      <w:r>
        <w:t xml:space="preserve"> в смеси тетрагидрофурана, пиридина и воды.</w:t>
      </w:r>
    </w:p>
    <w:p w:rsidR="00DD7CA5" w:rsidRDefault="009169FC">
      <w:pPr>
        <w:ind w:firstLine="709"/>
        <w:jc w:val="both"/>
      </w:pPr>
      <w:r>
        <w:rPr>
          <w:b/>
        </w:rPr>
        <w:t>Реагенты для выделения РНК и проведения ПЦР.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набор для выделения суммарной РНК;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набор для синтеза комплементарной ДНК (обратная транскриптаза и затравки);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готовая реакционная смесь для ПЦР в реальном времени, содержащая термостабильную полимеразу, смесь </w:t>
      </w:r>
      <w:proofErr w:type="spellStart"/>
      <w:r>
        <w:t>дезоксирибонуклеозидтрифосфатов</w:t>
      </w:r>
      <w:proofErr w:type="spellEnd"/>
      <w:r>
        <w:t xml:space="preserve"> и систему </w:t>
      </w:r>
      <w:proofErr w:type="spellStart"/>
      <w:r>
        <w:t>детекции</w:t>
      </w:r>
      <w:proofErr w:type="spellEnd"/>
      <w:r>
        <w:t xml:space="preserve"> (флуоресцентный краситель или зонд);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вода, свободная от нуклеаз.</w:t>
      </w:r>
    </w:p>
    <w:p w:rsidR="00DD7CA5" w:rsidRDefault="009169FC">
      <w:pPr>
        <w:ind w:firstLine="709"/>
        <w:jc w:val="both"/>
      </w:pPr>
      <w:r>
        <w:rPr>
          <w:i/>
        </w:rPr>
        <w:t xml:space="preserve">Замечание по обозначениям. В тексте англоязычные обозначения заменены русскоязычными эквивалентами: «прямой </w:t>
      </w:r>
      <w:proofErr w:type="spellStart"/>
      <w:r>
        <w:rPr>
          <w:i/>
        </w:rPr>
        <w:t>праймер</w:t>
      </w:r>
      <w:proofErr w:type="spellEnd"/>
      <w:r>
        <w:rPr>
          <w:i/>
        </w:rPr>
        <w:t xml:space="preserve">» вместо </w:t>
      </w:r>
      <w:proofErr w:type="spellStart"/>
      <w:r>
        <w:rPr>
          <w:i/>
        </w:rPr>
        <w:t>forward</w:t>
      </w:r>
      <w:proofErr w:type="spellEnd"/>
      <w:r>
        <w:rPr>
          <w:i/>
        </w:rPr>
        <w:t xml:space="preserve">, «обратный </w:t>
      </w:r>
      <w:proofErr w:type="spellStart"/>
      <w:r>
        <w:rPr>
          <w:i/>
        </w:rPr>
        <w:t>праймер</w:t>
      </w:r>
      <w:proofErr w:type="spellEnd"/>
      <w:r>
        <w:rPr>
          <w:i/>
        </w:rPr>
        <w:t xml:space="preserve">» вместо </w:t>
      </w:r>
      <w:proofErr w:type="spellStart"/>
      <w:r>
        <w:rPr>
          <w:i/>
        </w:rPr>
        <w:t>reverse</w:t>
      </w:r>
      <w:proofErr w:type="spellEnd"/>
      <w:r>
        <w:rPr>
          <w:i/>
        </w:rPr>
        <w:t xml:space="preserve">, «стекло с контролируемым размером пор» вместо </w:t>
      </w:r>
      <w:proofErr w:type="spellStart"/>
      <w:r>
        <w:rPr>
          <w:i/>
        </w:rPr>
        <w:t>controlled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glass</w:t>
      </w:r>
      <w:proofErr w:type="spellEnd"/>
      <w:r>
        <w:rPr>
          <w:i/>
        </w:rPr>
        <w:t xml:space="preserve">, «степень чистоты» вместо </w:t>
      </w:r>
      <w:proofErr w:type="spellStart"/>
      <w:r>
        <w:rPr>
          <w:i/>
        </w:rPr>
        <w:t>grade</w:t>
      </w:r>
      <w:proofErr w:type="spellEnd"/>
      <w:r>
        <w:rPr>
          <w:i/>
        </w:rPr>
        <w:t>. Сохранены лишь общепринятые символьные обозначения (</w:t>
      </w:r>
      <w:proofErr w:type="spellStart"/>
      <w:r>
        <w:rPr>
          <w:i/>
        </w:rPr>
        <w:t>Tm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dNTP</w:t>
      </w:r>
      <w:proofErr w:type="spellEnd"/>
      <w:r>
        <w:rPr>
          <w:i/>
        </w:rPr>
        <w:t>, Mg2+) и официальное название гена TOP2A.</w:t>
      </w:r>
    </w:p>
    <w:p w:rsidR="00DD7CA5" w:rsidRDefault="009169FC">
      <w:pPr>
        <w:pStyle w:val="2"/>
        <w:spacing w:before="200" w:after="160"/>
        <w:ind w:firstLine="709"/>
      </w:pPr>
      <w:bookmarkStart w:id="31" w:name="_Toc231841122"/>
      <w:r>
        <w:t xml:space="preserve">4.2 </w:t>
      </w:r>
      <w:proofErr w:type="spellStart"/>
      <w:r>
        <w:t>Биоинформатический</w:t>
      </w:r>
      <w:proofErr w:type="spellEnd"/>
      <w:r>
        <w:t xml:space="preserve"> подбор </w:t>
      </w:r>
      <w:proofErr w:type="spellStart"/>
      <w:r>
        <w:t>праймеров</w:t>
      </w:r>
      <w:proofErr w:type="spellEnd"/>
      <w:r>
        <w:t xml:space="preserve"> к гену TOP2A</w:t>
      </w:r>
      <w:bookmarkEnd w:id="31"/>
    </w:p>
    <w:p w:rsidR="00DD7CA5" w:rsidRDefault="009169FC">
      <w:pPr>
        <w:ind w:firstLine="709"/>
        <w:jc w:val="both"/>
      </w:pPr>
      <w:r>
        <w:t xml:space="preserve">Для точного измерения экспрессии гена TOP2A человека выполнен компьютерный подбор последовательностей </w:t>
      </w:r>
      <w:proofErr w:type="spellStart"/>
      <w:r>
        <w:t>праймеров</w:t>
      </w:r>
      <w:proofErr w:type="spellEnd"/>
      <w:r>
        <w:t xml:space="preserve"> на основе </w:t>
      </w:r>
      <w:proofErr w:type="spellStart"/>
      <w:r>
        <w:t>референсной</w:t>
      </w:r>
      <w:proofErr w:type="spellEnd"/>
      <w:r>
        <w:t xml:space="preserve"> матричной РНК гена. Проектирование проводили с помощью общедоступных программных средств подбора и проверки </w:t>
      </w:r>
      <w:proofErr w:type="spellStart"/>
      <w:r>
        <w:t>праймеров</w:t>
      </w:r>
      <w:proofErr w:type="spellEnd"/>
      <w:r>
        <w:t xml:space="preserve">, после чего специфичность кандидатов проверяли сравнением с полным геномом и </w:t>
      </w:r>
      <w:proofErr w:type="spellStart"/>
      <w:r>
        <w:t>транскриптомом</w:t>
      </w:r>
      <w:proofErr w:type="spellEnd"/>
      <w:r>
        <w:t xml:space="preserve"> человека [13, 17]. Критерии подбора сведены в таблицу 4.1.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 xml:space="preserve">Рисунок 4.1 — Критерии подбора </w:t>
      </w:r>
      <w:proofErr w:type="spellStart"/>
      <w:r>
        <w:rPr>
          <w:sz w:val="24"/>
          <w:szCs w:val="24"/>
        </w:rPr>
        <w:t>праймеров</w:t>
      </w:r>
      <w:proofErr w:type="spellEnd"/>
      <w:r>
        <w:rPr>
          <w:sz w:val="24"/>
          <w:szCs w:val="24"/>
        </w:rPr>
        <w:t xml:space="preserve"> для количественной ОТ-ПЦР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0"/>
        <w:gridCol w:w="5400"/>
      </w:tblGrid>
      <w:tr w:rsidR="00DD7CA5">
        <w:tc>
          <w:tcPr>
            <w:tcW w:w="39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Параметр</w:t>
            </w:r>
          </w:p>
        </w:tc>
        <w:tc>
          <w:tcPr>
            <w:tcW w:w="54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3"/>
                <w:szCs w:val="23"/>
              </w:rPr>
              <w:t>Рекомендуемое значение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Длина </w:t>
            </w:r>
            <w:proofErr w:type="spellStart"/>
            <w:r>
              <w:rPr>
                <w:sz w:val="23"/>
                <w:szCs w:val="23"/>
              </w:rPr>
              <w:t>праймера</w:t>
            </w:r>
            <w:proofErr w:type="spellEnd"/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18–24 нуклеотида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Длина </w:t>
            </w:r>
            <w:proofErr w:type="spellStart"/>
            <w:r>
              <w:rPr>
                <w:sz w:val="23"/>
                <w:szCs w:val="23"/>
              </w:rPr>
              <w:t>ампликона</w:t>
            </w:r>
            <w:proofErr w:type="spellEnd"/>
          </w:p>
        </w:tc>
        <w:tc>
          <w:tcPr>
            <w:tcW w:w="5400" w:type="dxa"/>
            <w:vAlign w:val="center"/>
          </w:tcPr>
          <w:p w:rsidR="00DD7CA5" w:rsidRDefault="00185212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100–250</w:t>
            </w:r>
            <w:r w:rsidR="009169FC">
              <w:rPr>
                <w:sz w:val="23"/>
                <w:szCs w:val="23"/>
              </w:rPr>
              <w:t xml:space="preserve"> пар нуклеотидов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lastRenderedPageBreak/>
              <w:t>Температура плавления (</w:t>
            </w:r>
            <w:proofErr w:type="spellStart"/>
            <w:r>
              <w:rPr>
                <w:sz w:val="23"/>
                <w:szCs w:val="23"/>
              </w:rPr>
              <w:t>Tm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58–62 °C, разница в паре не более 2 °C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Содержание G и C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40–60 %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Расположение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на границе </w:t>
            </w:r>
            <w:proofErr w:type="spellStart"/>
            <w:r>
              <w:rPr>
                <w:sz w:val="23"/>
                <w:szCs w:val="23"/>
              </w:rPr>
              <w:t>экзонов</w:t>
            </w:r>
            <w:proofErr w:type="spellEnd"/>
            <w:r>
              <w:rPr>
                <w:sz w:val="23"/>
                <w:szCs w:val="23"/>
              </w:rPr>
              <w:t xml:space="preserve"> (исключение геномной ДНК)</w:t>
            </w:r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Вторичные структуры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 xml:space="preserve">отсутствие шпилек и </w:t>
            </w:r>
            <w:proofErr w:type="spellStart"/>
            <w:r>
              <w:rPr>
                <w:sz w:val="23"/>
                <w:szCs w:val="23"/>
              </w:rPr>
              <w:t>димеров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праймеров</w:t>
            </w:r>
            <w:proofErr w:type="spellEnd"/>
          </w:p>
        </w:tc>
      </w:tr>
      <w:tr w:rsidR="00DD7CA5">
        <w:tc>
          <w:tcPr>
            <w:tcW w:w="39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Специфичность</w:t>
            </w:r>
          </w:p>
        </w:tc>
        <w:tc>
          <w:tcPr>
            <w:tcW w:w="54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3"/>
                <w:szCs w:val="23"/>
              </w:rPr>
              <w:t>уникальность относительно генома и TOP2B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Расположение </w:t>
      </w:r>
      <w:proofErr w:type="spellStart"/>
      <w:r>
        <w:t>праймеров</w:t>
      </w:r>
      <w:proofErr w:type="spellEnd"/>
      <w:r>
        <w:t xml:space="preserve"> на стыке соседних </w:t>
      </w:r>
      <w:proofErr w:type="spellStart"/>
      <w:r>
        <w:t>экзонов</w:t>
      </w:r>
      <w:proofErr w:type="spellEnd"/>
      <w:r>
        <w:t xml:space="preserve"> — важный приём, позволяющий исключить амплификацию примесной геномной ДНК: такой </w:t>
      </w:r>
      <w:proofErr w:type="spellStart"/>
      <w:r>
        <w:t>праймер</w:t>
      </w:r>
      <w:proofErr w:type="spellEnd"/>
      <w:r>
        <w:t xml:space="preserve"> связывается только с непрерывной последовательностью матричной РНК (точнее, синтезированной по ней комплементарной ДНК), но не с геномной ДНК, где между </w:t>
      </w:r>
      <w:proofErr w:type="spellStart"/>
      <w:r>
        <w:t>экзонами</w:t>
      </w:r>
      <w:proofErr w:type="spellEnd"/>
      <w:r>
        <w:t xml:space="preserve"> расположен </w:t>
      </w:r>
      <w:proofErr w:type="spellStart"/>
      <w:r>
        <w:t>интрон</w:t>
      </w:r>
      <w:proofErr w:type="spellEnd"/>
      <w:r>
        <w:t xml:space="preserve">. Минимальная разница температур плавления прямого и обратного </w:t>
      </w:r>
      <w:proofErr w:type="spellStart"/>
      <w:r>
        <w:t>праймеров</w:t>
      </w:r>
      <w:proofErr w:type="spellEnd"/>
      <w:r>
        <w:t xml:space="preserve"> обеспечивает их синхронный отжиг, а отсутствие </w:t>
      </w:r>
      <w:proofErr w:type="spellStart"/>
      <w:r>
        <w:t>комплементарности</w:t>
      </w:r>
      <w:proofErr w:type="spellEnd"/>
      <w:r>
        <w:t xml:space="preserve"> между </w:t>
      </w:r>
      <w:proofErr w:type="spellStart"/>
      <w:r>
        <w:t>праймерами</w:t>
      </w:r>
      <w:proofErr w:type="spellEnd"/>
      <w:r>
        <w:t xml:space="preserve"> предотвращает образование </w:t>
      </w:r>
      <w:proofErr w:type="spellStart"/>
      <w:r>
        <w:t>димеров</w:t>
      </w:r>
      <w:proofErr w:type="spellEnd"/>
      <w:r>
        <w:t>, снижающих эффективность реакции [13, 17].</w:t>
      </w:r>
    </w:p>
    <w:p w:rsidR="00DD7CA5" w:rsidRDefault="009169FC">
      <w:pPr>
        <w:ind w:firstLine="709"/>
        <w:jc w:val="both"/>
      </w:pPr>
      <w:proofErr w:type="spellStart"/>
      <w:r>
        <w:t>Кандидатные</w:t>
      </w:r>
      <w:proofErr w:type="spellEnd"/>
      <w:r>
        <w:t xml:space="preserve"> пары </w:t>
      </w:r>
      <w:proofErr w:type="spellStart"/>
      <w:r>
        <w:t>праймеров</w:t>
      </w:r>
      <w:proofErr w:type="spellEnd"/>
      <w:r>
        <w:t xml:space="preserve"> дополнительно проверяли на отсутствие устойчивых вторичных структур и на уникальность связывания, после чего отобранные последовательности передавали на синтез </w:t>
      </w:r>
      <w:proofErr w:type="spellStart"/>
      <w:r>
        <w:t>фосфорамидитным</w:t>
      </w:r>
      <w:proofErr w:type="spellEnd"/>
      <w:r>
        <w:t xml:space="preserve"> методом согласно протоколу раздела 4.3.</w:t>
      </w:r>
    </w:p>
    <w:p w:rsidR="00DD7CA5" w:rsidRDefault="009169FC">
      <w:pPr>
        <w:pStyle w:val="2"/>
        <w:spacing w:before="200" w:after="160"/>
        <w:ind w:firstLine="709"/>
      </w:pPr>
      <w:bookmarkStart w:id="32" w:name="_Toc231841123"/>
      <w:r>
        <w:t>4.3 Протокол синтеза и очистки олигонуклеотидов</w:t>
      </w:r>
      <w:bookmarkEnd w:id="32"/>
    </w:p>
    <w:p w:rsidR="00DD7CA5" w:rsidRDefault="009169FC">
      <w:pPr>
        <w:ind w:firstLine="709"/>
        <w:jc w:val="both"/>
      </w:pPr>
      <w:r>
        <w:t xml:space="preserve">Синтез отобранных </w:t>
      </w:r>
      <w:proofErr w:type="spellStart"/>
      <w:r>
        <w:t>праймеров</w:t>
      </w:r>
      <w:proofErr w:type="spellEnd"/>
      <w:r>
        <w:t xml:space="preserve"> проводили на автоматическом синтезаторе по стандартной </w:t>
      </w:r>
      <w:proofErr w:type="spellStart"/>
      <w:r>
        <w:t>фосфорамидитной</w:t>
      </w:r>
      <w:proofErr w:type="spellEnd"/>
      <w:r>
        <w:t xml:space="preserve"> схеме, описанной в главе 1. Каждое нуклеотидное звено присоединяли в ходе повторяющегося цикла из четырёх стадий: </w:t>
      </w:r>
      <w:proofErr w:type="spellStart"/>
      <w:r>
        <w:t>детритилирование</w:t>
      </w:r>
      <w:proofErr w:type="spellEnd"/>
      <w:r>
        <w:t xml:space="preserve">, конденсация, </w:t>
      </w:r>
      <w:proofErr w:type="spellStart"/>
      <w:r>
        <w:t>кэпирование</w:t>
      </w:r>
      <w:proofErr w:type="spellEnd"/>
      <w:r>
        <w:t xml:space="preserve"> и окисление. Обобщённые условия стадий приведены в таблице 4.2.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4.2 — Условия стадий синтетического цикла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4000"/>
        <w:gridCol w:w="3000"/>
      </w:tblGrid>
      <w:tr w:rsidR="00DD7CA5">
        <w:tc>
          <w:tcPr>
            <w:tcW w:w="2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Стадия</w:t>
            </w:r>
          </w:p>
        </w:tc>
        <w:tc>
          <w:tcPr>
            <w:tcW w:w="4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Реагент</w:t>
            </w:r>
          </w:p>
        </w:tc>
        <w:tc>
          <w:tcPr>
            <w:tcW w:w="3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Назначение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Детритилирование</w:t>
            </w:r>
            <w:proofErr w:type="spellEnd"/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 xml:space="preserve">кислота в </w:t>
            </w:r>
            <w:proofErr w:type="spellStart"/>
            <w:r>
              <w:rPr>
                <w:sz w:val="22"/>
                <w:szCs w:val="22"/>
              </w:rPr>
              <w:t>дихлорметане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освобождение 5′-ОН-группы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Конденсация</w:t>
            </w:r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фосфорамидит</w:t>
            </w:r>
            <w:proofErr w:type="spellEnd"/>
            <w:r>
              <w:rPr>
                <w:sz w:val="22"/>
                <w:szCs w:val="22"/>
              </w:rPr>
              <w:t xml:space="preserve"> + активатор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присоединение звена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Кэпирование</w:t>
            </w:r>
            <w:proofErr w:type="spellEnd"/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уксусный ангидрид + N-</w:t>
            </w:r>
            <w:proofErr w:type="spellStart"/>
            <w:r>
              <w:rPr>
                <w:sz w:val="22"/>
                <w:szCs w:val="22"/>
              </w:rPr>
              <w:t>метилимидазол</w:t>
            </w:r>
            <w:proofErr w:type="spellEnd"/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блокировка дефектов</w:t>
            </w:r>
          </w:p>
        </w:tc>
      </w:tr>
      <w:tr w:rsidR="00DD7CA5">
        <w:tc>
          <w:tcPr>
            <w:tcW w:w="2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Окисление</w:t>
            </w:r>
          </w:p>
        </w:tc>
        <w:tc>
          <w:tcPr>
            <w:tcW w:w="4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иод</w:t>
            </w:r>
            <w:proofErr w:type="spellEnd"/>
            <w:r>
              <w:rPr>
                <w:sz w:val="22"/>
                <w:szCs w:val="22"/>
              </w:rPr>
              <w:t xml:space="preserve"> в ТГФ/пиридине/воде</w:t>
            </w:r>
          </w:p>
        </w:tc>
        <w:tc>
          <w:tcPr>
            <w:tcW w:w="3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стабилизация связи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lastRenderedPageBreak/>
        <w:t xml:space="preserve">По завершении сборки </w:t>
      </w:r>
      <w:proofErr w:type="spellStart"/>
      <w:r>
        <w:t>олигонуклеотид</w:t>
      </w:r>
      <w:proofErr w:type="spellEnd"/>
      <w:r>
        <w:t xml:space="preserve"> отделяли от носителя и удаляли защитные группы обработкой концентрированным раствором аммиака. Полученный препарат очищали методом </w:t>
      </w:r>
      <w:proofErr w:type="spellStart"/>
      <w:r>
        <w:t>обращённо</w:t>
      </w:r>
      <w:proofErr w:type="spellEnd"/>
      <w:r>
        <w:t xml:space="preserve">-фазовой высокоэффективной жидкостной хроматографии либо электрофорезом в денатурирующем полиакриламидном геле, после чего обессоливали. Концентрацию и чистоту готового </w:t>
      </w:r>
      <w:proofErr w:type="spellStart"/>
      <w:r>
        <w:t>олигонуклеотида</w:t>
      </w:r>
      <w:proofErr w:type="spellEnd"/>
      <w:r>
        <w:t xml:space="preserve"> контролировали </w:t>
      </w:r>
      <w:proofErr w:type="spellStart"/>
      <w:r>
        <w:t>спектрофотометрически</w:t>
      </w:r>
      <w:proofErr w:type="spellEnd"/>
      <w:r>
        <w:t xml:space="preserve"> по поглощению при 260 нанометрах и по соотношению поглощений при 260 и 280 нанометрах, </w:t>
      </w:r>
      <w:r>
        <w:t xml:space="preserve">а корректность молекулярной массы подтверждали масс-спектрометрией</w:t>
      </w:r>
      <w:r>
        <w:t xml:space="preserve"> [6, 10].</w:t>
      </w:r>
    </w:p>
    <w:p w:rsidR="00DD7CA5" w:rsidRDefault="009169FC">
      <w:pPr>
        <w:pStyle w:val="2"/>
        <w:spacing w:before="200" w:after="160"/>
        <w:ind w:firstLine="709"/>
      </w:pPr>
      <w:bookmarkStart w:id="33" w:name="_Toc231841124"/>
      <w:r>
        <w:t>4.4 Выделение РНК и обратная транскрипция</w:t>
      </w:r>
      <w:bookmarkEnd w:id="33"/>
    </w:p>
    <w:p w:rsidR="00DD7CA5" w:rsidRDefault="009169FC">
      <w:pPr>
        <w:ind w:firstLine="709"/>
        <w:jc w:val="both"/>
      </w:pPr>
      <w:r>
        <w:t xml:space="preserve">Суммарную РНК выделяли из исследуемого материала с использованием стандартного набора, строго соблюдая меры предосторожности против деградации: работу вели на льду, применяли воду и реактивы, свободные от нуклеаз, а также наконечники с фильтром. Качество и концентрацию выделенной РНК оценивали </w:t>
      </w:r>
      <w:proofErr w:type="spellStart"/>
      <w:r>
        <w:t>спектрофотометрически</w:t>
      </w:r>
      <w:proofErr w:type="spellEnd"/>
      <w:r>
        <w:t xml:space="preserve"> и </w:t>
      </w:r>
      <w:proofErr w:type="spellStart"/>
      <w:r>
        <w:t>электрофоретически</w:t>
      </w:r>
      <w:proofErr w:type="spellEnd"/>
      <w:r>
        <w:t>. На матрице РНК с помощью обратной транскриптазы синтезировали комплементарную ДНК, которая далее служила матрицей для количественной ПЦР [4, 12].</w:t>
      </w:r>
    </w:p>
    <w:p w:rsidR="00DD7CA5" w:rsidRDefault="009169FC">
      <w:pPr>
        <w:pStyle w:val="2"/>
        <w:spacing w:before="200" w:after="160"/>
        <w:ind w:firstLine="709"/>
      </w:pPr>
      <w:bookmarkStart w:id="34" w:name="_Toc231841125"/>
      <w:r>
        <w:t>4.5 Постановка количественной ОТ-ПЦР</w:t>
      </w:r>
      <w:bookmarkEnd w:id="34"/>
    </w:p>
    <w:p w:rsidR="00DD7CA5" w:rsidRDefault="009169FC">
      <w:pPr>
        <w:ind w:firstLine="709"/>
        <w:jc w:val="both"/>
      </w:pPr>
      <w:r>
        <w:t xml:space="preserve">Количественную ПЦР в реальном времени проводили с использованием синтезированных </w:t>
      </w:r>
      <w:proofErr w:type="spellStart"/>
      <w:r>
        <w:t>праймеров</w:t>
      </w:r>
      <w:proofErr w:type="spellEnd"/>
      <w:r>
        <w:t xml:space="preserve"> к гену TOP2A и готовой реакционной смеси с системой флуоресцентной </w:t>
      </w:r>
      <w:proofErr w:type="spellStart"/>
      <w:r>
        <w:t>детекции</w:t>
      </w:r>
      <w:proofErr w:type="spellEnd"/>
      <w:r>
        <w:t xml:space="preserve">. Параллельно ставили реакцию с </w:t>
      </w:r>
      <w:proofErr w:type="spellStart"/>
      <w:r>
        <w:t>праймерами</w:t>
      </w:r>
      <w:proofErr w:type="spellEnd"/>
      <w:r>
        <w:t xml:space="preserve"> к </w:t>
      </w:r>
      <w:proofErr w:type="spellStart"/>
      <w:r>
        <w:t>референсному</w:t>
      </w:r>
      <w:proofErr w:type="spellEnd"/>
      <w:r>
        <w:t xml:space="preserve"> гену для последующей нормировки. Типовая температурно-временная программа амплификации представлена в таблице 4.3.</w:t>
      </w:r>
    </w:p>
    <w:p w:rsidR="00DD7CA5" w:rsidRDefault="009169FC">
      <w:pPr>
        <w:spacing w:before="60" w:after="200" w:line="276" w:lineRule="auto"/>
        <w:jc w:val="center"/>
      </w:pPr>
      <w:r>
        <w:rPr>
          <w:sz w:val="24"/>
          <w:szCs w:val="24"/>
        </w:rPr>
        <w:t>Рисунок 4.3 — Типовая программа амплификации в реальном времени</w:t>
      </w:r>
    </w:p>
    <w:tbl>
      <w:tblPr>
        <w:tblStyle w:val="a4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0"/>
        <w:gridCol w:w="2200"/>
        <w:gridCol w:w="2000"/>
        <w:gridCol w:w="1800"/>
      </w:tblGrid>
      <w:tr w:rsidR="00DD7CA5">
        <w:tc>
          <w:tcPr>
            <w:tcW w:w="33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Этап</w:t>
            </w:r>
          </w:p>
        </w:tc>
        <w:tc>
          <w:tcPr>
            <w:tcW w:w="22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Температура</w:t>
            </w:r>
          </w:p>
        </w:tc>
        <w:tc>
          <w:tcPr>
            <w:tcW w:w="20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Время</w:t>
            </w:r>
          </w:p>
        </w:tc>
        <w:tc>
          <w:tcPr>
            <w:tcW w:w="1800" w:type="dxa"/>
            <w:shd w:val="clear" w:color="auto" w:fill="D9E2F3"/>
            <w:vAlign w:val="center"/>
          </w:tcPr>
          <w:p w:rsidR="00DD7CA5" w:rsidRDefault="009169FC">
            <w:pPr>
              <w:spacing w:after="40" w:line="276" w:lineRule="auto"/>
              <w:jc w:val="center"/>
            </w:pPr>
            <w:r>
              <w:rPr>
                <w:b/>
                <w:sz w:val="22"/>
                <w:szCs w:val="22"/>
              </w:rPr>
              <w:t>Число циклов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Начальная денатурация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3–10 мин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Денатурация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10–15 с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40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lastRenderedPageBreak/>
              <w:t>Отжиг и элонгация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60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30–60 с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40</w:t>
            </w:r>
          </w:p>
        </w:tc>
      </w:tr>
      <w:tr w:rsidR="00DD7CA5">
        <w:tc>
          <w:tcPr>
            <w:tcW w:w="33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Анализ кривой плавления</w:t>
            </w:r>
          </w:p>
        </w:tc>
        <w:tc>
          <w:tcPr>
            <w:tcW w:w="22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60→95 °C</w:t>
            </w:r>
          </w:p>
        </w:tc>
        <w:tc>
          <w:tcPr>
            <w:tcW w:w="20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плавно</w:t>
            </w:r>
          </w:p>
        </w:tc>
        <w:tc>
          <w:tcPr>
            <w:tcW w:w="1800" w:type="dxa"/>
            <w:vAlign w:val="center"/>
          </w:tcPr>
          <w:p w:rsidR="00DD7CA5" w:rsidRDefault="009169FC">
            <w:pPr>
              <w:spacing w:after="40" w:line="276" w:lineRule="auto"/>
              <w:jc w:val="both"/>
            </w:pPr>
            <w:r>
              <w:rPr>
                <w:sz w:val="22"/>
                <w:szCs w:val="22"/>
              </w:rPr>
              <w:t>1</w:t>
            </w:r>
          </w:p>
        </w:tc>
      </w:tr>
    </w:tbl>
    <w:p w:rsidR="00DD7CA5" w:rsidRDefault="00DD7CA5">
      <w:pPr>
        <w:spacing w:after="120"/>
      </w:pPr>
    </w:p>
    <w:p w:rsidR="00DD7CA5" w:rsidRDefault="009169FC">
      <w:pPr>
        <w:ind w:firstLine="709"/>
        <w:jc w:val="both"/>
      </w:pPr>
      <w:r>
        <w:t xml:space="preserve">В каждый эксперимент включали отрицательный контроль без матрицы и, при необходимости, контроль на отсутствие геномной ДНК. Специфичность продукта подтверждали анализом кривой плавления: наличие единственного пика свидетельствует об образовании одного специфического </w:t>
      </w:r>
      <w:proofErr w:type="spellStart"/>
      <w:r>
        <w:t>ампликона</w:t>
      </w:r>
      <w:proofErr w:type="spellEnd"/>
      <w:r>
        <w:t xml:space="preserve"> без побочных продуктов и </w:t>
      </w:r>
      <w:proofErr w:type="spellStart"/>
      <w:r>
        <w:t>димеров</w:t>
      </w:r>
      <w:proofErr w:type="spellEnd"/>
      <w:r>
        <w:t xml:space="preserve"> </w:t>
      </w:r>
      <w:proofErr w:type="spellStart"/>
      <w:r>
        <w:t>праймеров</w:t>
      </w:r>
      <w:proofErr w:type="spellEnd"/>
      <w:r>
        <w:t xml:space="preserve"> [4, 16].</w:t>
      </w:r>
    </w:p>
    <w:p w:rsidR="00DD7CA5" w:rsidRDefault="009169FC">
      <w:pPr>
        <w:pStyle w:val="2"/>
        <w:spacing w:before="200" w:after="160"/>
        <w:ind w:firstLine="709"/>
      </w:pPr>
      <w:bookmarkStart w:id="35" w:name="_Toc231841126"/>
      <w:r>
        <w:t>4.6 Обработка результатов и нормировка</w:t>
      </w:r>
      <w:bookmarkEnd w:id="35"/>
    </w:p>
    <w:p w:rsidR="00DD7CA5" w:rsidRDefault="009169FC">
      <w:pPr>
        <w:ind w:firstLine="709"/>
        <w:jc w:val="both"/>
      </w:pPr>
      <w:r>
        <w:t xml:space="preserve">Уровень экспрессии гена TOP2A оценивали относительным методом, сопоставляя пороговый цикл целевого гена с пороговым циклом стабильно </w:t>
      </w:r>
      <w:proofErr w:type="spellStart"/>
      <w:r>
        <w:t>экспрессируемого</w:t>
      </w:r>
      <w:proofErr w:type="spellEnd"/>
      <w:r>
        <w:t xml:space="preserve"> </w:t>
      </w:r>
      <w:proofErr w:type="spellStart"/>
      <w:r>
        <w:t>референсного</w:t>
      </w:r>
      <w:proofErr w:type="spellEnd"/>
      <w:r>
        <w:t xml:space="preserve"> гена. Относительное различие в экспрессии между сравниваемыми образцами рассчитывали по общепринятому методу сравнительного порогового цикла. Такой подход компенсирует различия в исходном количестве и качестве материала и обеспечивает корректное сопоставление образцов [4, 16</w:t>
      </w:r>
      <w:proofErr w:type="gramStart"/>
      <w:r>
        <w:t>].</w:t>
      </w:r>
      <w:r w:rsidR="000B01AF">
        <w:t xml:space="preserve"> В качестве референсных (нормировочных) генов использовали стабильно экспрессируемые гены «домашнего хозяйства» — GAPDH и ACTB; уровень экспрессии TOP2A пересчитывали на среднее геометрическое не менее двух референсных генов, что повышает надёжность нормировки [16, 44].</w:t>
      </w:r>
    </w:p>
    <w:p w:rsidR="00DD7CA5" w:rsidRDefault="009169FC">
      <w:pPr>
        <w:ind w:firstLine="709"/>
        <w:jc w:val="both"/>
      </w:pPr>
      <w:r>
        <w:t xml:space="preserve">Каждый образец анализировали не менее чем в трёх </w:t>
      </w:r>
      <w:proofErr w:type="spellStart"/>
      <w:r>
        <w:t>повторностях</w:t>
      </w:r>
      <w:proofErr w:type="spellEnd"/>
      <w:r>
        <w:t xml:space="preserve">, а достоверность различий оценивали статистически. Совокупность перечисленных мер — тщательный подбор и качественный синтез </w:t>
      </w:r>
      <w:proofErr w:type="spellStart"/>
      <w:r>
        <w:t>праймеров</w:t>
      </w:r>
      <w:proofErr w:type="spellEnd"/>
      <w:r>
        <w:t xml:space="preserve">, аккуратное выделение РНК, использование контролей и корректная нормировка — обеспечивает </w:t>
      </w:r>
      <w:proofErr w:type="spellStart"/>
      <w:r>
        <w:t>воспроизводимость</w:t>
      </w:r>
      <w:proofErr w:type="spellEnd"/>
      <w:r>
        <w:t xml:space="preserve"> и достоверность количественной оценки экспрессии гена TOP2A.</w:t>
      </w:r>
    </w:p>
    <w:p w:rsidR="00DD7CA5" w:rsidRDefault="009169FC">
      <w:pPr>
        <w:pStyle w:val="2"/>
        <w:spacing w:before="200" w:after="160"/>
        <w:ind w:firstLine="709"/>
      </w:pPr>
      <w:bookmarkStart w:id="36" w:name="_Toc231841127"/>
      <w:r>
        <w:t>4.7 Рекомендации по обеспечению достоверности анализа</w:t>
      </w:r>
      <w:bookmarkEnd w:id="36"/>
    </w:p>
    <w:p w:rsidR="00DD7CA5" w:rsidRDefault="009169FC">
      <w:pPr>
        <w:ind w:firstLine="709"/>
        <w:jc w:val="both"/>
      </w:pPr>
      <w:r>
        <w:t>На основании рассмотренного материала сформулированы практические рекомендации, повышающие надёжность анализа экспрессии гена TOP2A: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использовать </w:t>
      </w:r>
      <w:proofErr w:type="spellStart"/>
      <w:r>
        <w:t>праймеры</w:t>
      </w:r>
      <w:proofErr w:type="spellEnd"/>
      <w:r>
        <w:t xml:space="preserve"> на стыке </w:t>
      </w:r>
      <w:proofErr w:type="spellStart"/>
      <w:r>
        <w:t>экзонов</w:t>
      </w:r>
      <w:proofErr w:type="spellEnd"/>
      <w:r>
        <w:t xml:space="preserve"> и проверять их специфичность относительно гена TOP2B;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lastRenderedPageBreak/>
        <w:t xml:space="preserve">применять очищенные </w:t>
      </w:r>
      <w:proofErr w:type="spellStart"/>
      <w:r>
        <w:t>олигонуклеотиды</w:t>
      </w:r>
      <w:proofErr w:type="spellEnd"/>
      <w:r>
        <w:t xml:space="preserve"> с подтверждённой масс-спектрометрией структурой;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строго соблюдать правила работы с РНК и зональное разделение ПЦР-лаборатории;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>включать полный набор контролей и подтверждать специфичность анализом кривой плавления;</w:t>
      </w:r>
    </w:p>
    <w:p w:rsidR="00DD7CA5" w:rsidRDefault="009169FC">
      <w:pPr>
        <w:pStyle w:val="a3"/>
        <w:numPr>
          <w:ilvl w:val="0"/>
          <w:numId w:val="1"/>
        </w:numPr>
        <w:jc w:val="both"/>
      </w:pPr>
      <w:r>
        <w:t xml:space="preserve">нормировать результаты на проверенные </w:t>
      </w:r>
      <w:proofErr w:type="spellStart"/>
      <w:r>
        <w:t>референсные</w:t>
      </w:r>
      <w:proofErr w:type="spellEnd"/>
      <w:r>
        <w:t xml:space="preserve"> гены и проводить измерения в </w:t>
      </w:r>
      <w:proofErr w:type="spellStart"/>
      <w:r>
        <w:t>повторностях</w:t>
      </w:r>
      <w:proofErr w:type="spellEnd"/>
      <w:r>
        <w:t>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37" w:name="_Toc231841128"/>
      <w:r>
        <w:rPr>
          <w:szCs w:val="32"/>
        </w:rPr>
        <w:lastRenderedPageBreak/>
        <w:t>ЗАКЛЮЧЕНИЕ</w:t>
      </w:r>
      <w:bookmarkEnd w:id="37"/>
    </w:p>
    <w:p w:rsidR="00DD7CA5" w:rsidRDefault="009169FC">
      <w:pPr>
        <w:ind w:firstLine="709"/>
        <w:jc w:val="both"/>
      </w:pPr>
      <w:r>
        <w:t xml:space="preserve">В настоящей работе рассмотрена единая логическая цепь современной молекулярной диагностики, связывающая химический синтез олигонуклеотидов, биологию гена TOP2A и методологию полимеразной цепной реакции. Последовательное изложение этих разделов показало, что качество конечного аналитического результата закладывается уже на этапе синтеза </w:t>
      </w:r>
      <w:proofErr w:type="spellStart"/>
      <w:r>
        <w:t>праймеров</w:t>
      </w:r>
      <w:proofErr w:type="spellEnd"/>
      <w:r>
        <w:t xml:space="preserve"> и сопровождается на всех последующих стадиях анализа.</w:t>
      </w:r>
    </w:p>
    <w:p w:rsidR="00DD7CA5" w:rsidRDefault="009169FC">
      <w:pPr>
        <w:ind w:firstLine="709"/>
        <w:jc w:val="both"/>
      </w:pPr>
      <w:r>
        <w:t xml:space="preserve">В первой главе систематизированы теоретические основы твердофазного </w:t>
      </w:r>
      <w:proofErr w:type="spellStart"/>
      <w:r>
        <w:t>фосфорамидитного</w:t>
      </w:r>
      <w:proofErr w:type="spellEnd"/>
      <w:r>
        <w:t xml:space="preserve"> синтеза. Показано, что замкнутый цикл из четырёх стадий — </w:t>
      </w:r>
      <w:proofErr w:type="spellStart"/>
      <w:r>
        <w:t>детритилирования</w:t>
      </w:r>
      <w:proofErr w:type="spellEnd"/>
      <w:r>
        <w:t xml:space="preserve">, конденсации, </w:t>
      </w:r>
      <w:proofErr w:type="spellStart"/>
      <w:r>
        <w:t>кэпирования</w:t>
      </w:r>
      <w:proofErr w:type="spellEnd"/>
      <w:r>
        <w:t xml:space="preserve"> и окисления — в сочетании с ортогональной системой защитных групп и эффективными методами очистки обеспечивает получение олигонуклеотидов требуемой длины, чистоты и специфичности. Эволюция методов химического синтеза и их современное состояние подробно отражены в литературе [5, 6, 12, 19–25].</w:t>
      </w:r>
    </w:p>
    <w:p w:rsidR="00DD7CA5" w:rsidRDefault="009169FC">
      <w:pPr>
        <w:ind w:firstLine="709"/>
        <w:jc w:val="both"/>
      </w:pPr>
      <w:r>
        <w:t xml:space="preserve">Во второй главе обобщены сведения о структурно-функциональной организации гена TOP2A, каталитическом механизме </w:t>
      </w:r>
      <w:proofErr w:type="spellStart"/>
      <w:r>
        <w:t>топоизомеразы</w:t>
      </w:r>
      <w:proofErr w:type="spellEnd"/>
      <w:r>
        <w:t xml:space="preserve"> II альфа и её роли в клеточном цикле. Обоснован статус гена как прогностического и предсказательного </w:t>
      </w:r>
      <w:proofErr w:type="spellStart"/>
      <w:r>
        <w:t>биомаркера</w:t>
      </w:r>
      <w:proofErr w:type="spellEnd"/>
      <w:r>
        <w:t xml:space="preserve">, тесно связанного с пролиферативной активностью клеток и чувствительностью опухолей к ядам </w:t>
      </w:r>
      <w:proofErr w:type="spellStart"/>
      <w:r>
        <w:t>топоизомеразы</w:t>
      </w:r>
      <w:proofErr w:type="spellEnd"/>
      <w:r>
        <w:t xml:space="preserve"> [1, 2, 7, 8, 11, 15, 26–35].</w:t>
      </w:r>
    </w:p>
    <w:p w:rsidR="00DD7CA5" w:rsidRDefault="009169FC">
      <w:pPr>
        <w:ind w:firstLine="709"/>
        <w:jc w:val="both"/>
      </w:pPr>
      <w:r>
        <w:t xml:space="preserve">В третьей главе рассмотрены теоретические и методические основы полимеразной цепной реакции и её количественных модификаций. Показано, что относительная количественная ОТ-ПЦР с нормировкой на </w:t>
      </w:r>
      <w:proofErr w:type="spellStart"/>
      <w:r>
        <w:t>референсные</w:t>
      </w:r>
      <w:proofErr w:type="spellEnd"/>
      <w:r>
        <w:t xml:space="preserve"> гены является оптимальным инструментом измерения экспрессии TOP2A, а достоверность результатов обеспечивается системой контролей и анализом специфичности продукта [3, 4, 13, 14, 16, 36–52].</w:t>
      </w:r>
    </w:p>
    <w:p w:rsidR="00DD7CA5" w:rsidRDefault="009169FC">
      <w:pPr>
        <w:ind w:firstLine="709"/>
        <w:jc w:val="both"/>
      </w:pPr>
      <w:r>
        <w:t xml:space="preserve">В четвёртой главе предложен практический алгоритм: </w:t>
      </w:r>
      <w:proofErr w:type="spellStart"/>
      <w:r>
        <w:t>биоинформатический</w:t>
      </w:r>
      <w:proofErr w:type="spellEnd"/>
      <w:r>
        <w:t xml:space="preserve"> подбор специфичных </w:t>
      </w:r>
      <w:proofErr w:type="spellStart"/>
      <w:r>
        <w:t>праймеров</w:t>
      </w:r>
      <w:proofErr w:type="spellEnd"/>
      <w:r>
        <w:t xml:space="preserve"> на стыке </w:t>
      </w:r>
      <w:proofErr w:type="spellStart"/>
      <w:r>
        <w:t>экзонов</w:t>
      </w:r>
      <w:proofErr w:type="spellEnd"/>
      <w:r>
        <w:t xml:space="preserve">, их синтез и очистка, выделение РНК, обратная транскрипция, постановка </w:t>
      </w:r>
      <w:r>
        <w:lastRenderedPageBreak/>
        <w:t xml:space="preserve">количественной ПЦР и корректная обработка результатов. Сформулированы рекомендации по обеспечению </w:t>
      </w:r>
      <w:proofErr w:type="spellStart"/>
      <w:r>
        <w:t>воспроизводимости</w:t>
      </w:r>
      <w:proofErr w:type="spellEnd"/>
      <w:r>
        <w:t xml:space="preserve"> анализа, опирающиеся в том числе на общепринятые методические руководства [17, 39, 41, 47–50, 53–56].</w:t>
      </w:r>
    </w:p>
    <w:p w:rsidR="00DD7CA5" w:rsidRDefault="009169FC">
      <w:pPr>
        <w:ind w:firstLine="709"/>
        <w:jc w:val="both"/>
      </w:pPr>
      <w:r>
        <w:t xml:space="preserve">Таким образом, цель работы достигнута: дано теоретическое обоснование стадий </w:t>
      </w:r>
      <w:proofErr w:type="spellStart"/>
      <w:r>
        <w:t>фосфорамидитного</w:t>
      </w:r>
      <w:proofErr w:type="spellEnd"/>
      <w:r>
        <w:t xml:space="preserve"> синтеза олигонуклеотидов и разработан целостный алгоритм анализа экспрессии гена TOP2A человека методом полимеразной цепной реакции. Предложенные решения могут быть использованы в учебной и научно-исследовательской практике молекулярно-генетических лабораторий.</w:t>
      </w:r>
    </w:p>
    <w:p w:rsidR="00DD7CA5" w:rsidRDefault="009169FC">
      <w:pPr>
        <w:pStyle w:val="1"/>
        <w:pageBreakBefore/>
        <w:spacing w:before="240" w:after="240"/>
        <w:jc w:val="center"/>
      </w:pPr>
      <w:bookmarkStart w:id="38" w:name="_Toc231841129"/>
      <w:r>
        <w:rPr>
          <w:szCs w:val="32"/>
        </w:rPr>
        <w:lastRenderedPageBreak/>
        <w:t>ВЫВОДЫ</w:t>
      </w:r>
      <w:bookmarkEnd w:id="38"/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В соответствии с первой задачей проведён биоинформатический анализ нуклеотидной последовательности гена TOP2A человека (локус 17q21.2) и сконструированы специфичные олигонуклеотидные праймеры на стыке экзонов с учётом термодинамических критериев: длина 18–24 нуклеотида, температура плавления 58–62 °C при разнице в паре не более 2 °C, содержание G+C 40–60 %, отсутствие устойчивых шпилек и димеров; специфичность подтверждена сравнением с геномом и транскриптомом человека и отсутствием перекрёстного связывания с геном TOP2B.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В рамках второй задачи сконструированные праймеры синтезированы твердофазным фосфорамидитным методом, основанным на повторяющемся цикле из четырёх стадий (детритилирование, конденсация, кэпирование, окисление) и ортогональной системе защитных групп; постсинтетическая обработка концентрированным раствором аммиака обеспечила снятие олигонуклеотида с носителя и удаление защитных групп.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Согласно третьей задаче синтезированные праймеры очищены электрофорезом в денатурирующем полиакриламидном геле, а их чистота оценена методом обращённо-фазовой ВЭЖХ; концентрацию контролировали спектрофотометрически (поглощение при 260 нм и отношение A260/A280), а корректность молекулярной массы — масс-спектрометрией, что является необходимым условием достоверности последующего анализа.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В соответствии с четвёртой задачей подобраны состав реакционной смеси и температурно-временной режим амплификации и разработан протокол анализа экспрессии гена TOP2A методом относительной количественной ОТ-ПЦР в реальном времени с нормировкой на референсные гены (GAPDH, ACTB); специфичность продукта контролируется анализом кривой плавления, а эффективность праймеров оценивается по наклону калибровочной кривой.</w:t>
      </w:r>
    </w:p>
    <w:p w:rsidR="00DD7CA5" w:rsidRDefault="009169FC">
      <w:pPr>
        <w:pStyle w:val="a3"/>
        <w:numPr>
          <w:ilvl w:val="0"/>
          <w:numId w:val="2"/>
        </w:numPr>
        <w:jc w:val="both"/>
      </w:pPr>
      <w:r>
        <w:t xml:space="preserve">Таким образом, цель работы достигнута: предложен и обоснован целостный алгоритм — конструирование, синтез и очистка специфичных олигонуклеотидных праймеров и постановка количественной ОТ-ПЦР, — пригодный для практической оценки экспрессии гена TOP2A человека в учебных и научно-исследовательских молекулярно-генетических лабораториях.</w:t>
      </w:r>
    </w:p>
    <w:p w:rsidR="000B01AF" w:rsidRDefault="000B01AF" w:rsidP="000B01AF">
      <w:pPr>
        <w:pStyle w:val="a3"/>
        <w:jc w:val="both"/>
      </w:pPr>
      <w:bookmarkStart w:id="39" w:name="_GoBack"/>
      <w:bookmarkEnd w:id="39"/>
    </w:p>
    <w:p w:rsidR="00DD7CA5" w:rsidRDefault="009169FC">
      <w:pPr>
        <w:pStyle w:val="1"/>
        <w:pageBreakBefore/>
        <w:spacing w:before="240" w:after="240"/>
        <w:jc w:val="center"/>
      </w:pPr>
      <w:bookmarkStart w:id="40" w:name="_Toc231841130"/>
      <w:r>
        <w:rPr>
          <w:szCs w:val="32"/>
        </w:rPr>
        <w:lastRenderedPageBreak/>
        <w:t>СПИСОК ИСПОЛЬЗОВАННЫХ ИСТОЧНИКОВ</w:t>
      </w:r>
      <w:bookmarkEnd w:id="40"/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Wang J. C. Cellular roles of DNA topoisomerases: a molecular perspective // Nature Reviews Molecular Cell Biology. — 2002. — Vol. 3, No. 6. — P. 430–440.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Nitiss</w:t>
      </w:r>
      <w:proofErr w:type="spellEnd"/>
      <w:r w:rsidRPr="001B0A38">
        <w:rPr>
          <w:sz w:val="26"/>
          <w:szCs w:val="26"/>
          <w:lang w:val="en-US"/>
        </w:rPr>
        <w:t xml:space="preserve"> J. L. Targeting DNA topoisomerase II in cancer chemotherapy // Nature Reviews Cancer. — 2009. — Vol. 9, No. 5. — P. 338–350.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Mullis K. B., </w:t>
      </w:r>
      <w:proofErr w:type="spellStart"/>
      <w:r w:rsidRPr="001B0A38">
        <w:rPr>
          <w:sz w:val="26"/>
          <w:szCs w:val="26"/>
          <w:lang w:val="en-US"/>
        </w:rPr>
        <w:t>Faloona</w:t>
      </w:r>
      <w:proofErr w:type="spellEnd"/>
      <w:r w:rsidRPr="001B0A38">
        <w:rPr>
          <w:sz w:val="26"/>
          <w:szCs w:val="26"/>
          <w:lang w:val="en-US"/>
        </w:rPr>
        <w:t xml:space="preserve"> F. A. Specific synthesis of DNA in vitro via a polymerase-catalyzed chain reaction // Methods in Enzymology. — 1987. — Vol. 155. — P. 335–350.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Absolute quantification of mRNA using real-time reverse transcription polymerase chain reaction assays // Journal of Molecular Endocrinology. — 2000. — Vol. 25, No. 2. — P. 169–193.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Beaucage</w:t>
      </w:r>
      <w:proofErr w:type="spellEnd"/>
      <w:r w:rsidRPr="001B0A38">
        <w:rPr>
          <w:sz w:val="26"/>
          <w:szCs w:val="26"/>
          <w:lang w:val="en-US"/>
        </w:rPr>
        <w:t xml:space="preserve"> S. L., Caruthers M. H. </w:t>
      </w:r>
      <w:proofErr w:type="spellStart"/>
      <w:r w:rsidRPr="001B0A38">
        <w:rPr>
          <w:sz w:val="26"/>
          <w:szCs w:val="26"/>
          <w:lang w:val="en-US"/>
        </w:rPr>
        <w:t>Deoxynucleoside</w:t>
      </w:r>
      <w:proofErr w:type="spellEnd"/>
      <w:r w:rsidRPr="001B0A38">
        <w:rPr>
          <w:sz w:val="26"/>
          <w:szCs w:val="26"/>
          <w:lang w:val="en-US"/>
        </w:rPr>
        <w:t xml:space="preserve"> </w:t>
      </w:r>
      <w:proofErr w:type="spellStart"/>
      <w:r w:rsidRPr="001B0A38">
        <w:rPr>
          <w:sz w:val="26"/>
          <w:szCs w:val="26"/>
          <w:lang w:val="en-US"/>
        </w:rPr>
        <w:t>phosphoramidites</w:t>
      </w:r>
      <w:proofErr w:type="spellEnd"/>
      <w:r w:rsidRPr="001B0A38">
        <w:rPr>
          <w:sz w:val="26"/>
          <w:szCs w:val="26"/>
          <w:lang w:val="en-US"/>
        </w:rPr>
        <w:t xml:space="preserve"> — a new class of key intermediates for </w:t>
      </w:r>
      <w:proofErr w:type="spellStart"/>
      <w:r w:rsidRPr="001B0A38">
        <w:rPr>
          <w:sz w:val="26"/>
          <w:szCs w:val="26"/>
          <w:lang w:val="en-US"/>
        </w:rPr>
        <w:t>deoxypolynucleotide</w:t>
      </w:r>
      <w:proofErr w:type="spellEnd"/>
      <w:r w:rsidRPr="001B0A38">
        <w:rPr>
          <w:sz w:val="26"/>
          <w:szCs w:val="26"/>
          <w:lang w:val="en-US"/>
        </w:rPr>
        <w:t xml:space="preserve"> synthesis // Tetrahedron Letters. — 1981. — Vol. 22, No. 20. — P. 1859–1862.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Caruthers M. H. The chemical synthesis of DNA/RNA: our gift to science // Journal of Biological Chemistry. — 2013. — Vol. 288, No. 2. — P. 1420–1427.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Champoux</w:t>
      </w:r>
      <w:proofErr w:type="spellEnd"/>
      <w:r w:rsidRPr="001B0A38">
        <w:rPr>
          <w:sz w:val="26"/>
          <w:szCs w:val="26"/>
          <w:lang w:val="en-US"/>
        </w:rPr>
        <w:t xml:space="preserve"> J. J. DNA topoisomerases: structure, function, and mechanism // Annual Review of Biochemistry. — 2001. — Vol. 70. — P. 369–413.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Nitiss</w:t>
      </w:r>
      <w:proofErr w:type="spellEnd"/>
      <w:r w:rsidRPr="001B0A38">
        <w:rPr>
          <w:sz w:val="26"/>
          <w:szCs w:val="26"/>
          <w:lang w:val="en-US"/>
        </w:rPr>
        <w:t xml:space="preserve"> J. L. DNA topoisomerase II and its growing repertoire of biological functions // Nature Reviews Cancer. — 2009. — Vol. 9, No. 5. — P. 327–337.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Tsai-</w:t>
      </w:r>
      <w:proofErr w:type="spellStart"/>
      <w:r w:rsidRPr="001B0A38">
        <w:rPr>
          <w:sz w:val="26"/>
          <w:szCs w:val="26"/>
          <w:lang w:val="en-US"/>
        </w:rPr>
        <w:t>Pflugfelder</w:t>
      </w:r>
      <w:proofErr w:type="spellEnd"/>
      <w:r w:rsidRPr="001B0A38">
        <w:rPr>
          <w:sz w:val="26"/>
          <w:szCs w:val="26"/>
          <w:lang w:val="en-US"/>
        </w:rPr>
        <w:t xml:space="preserve"> M. et al. Cloning and sequencing of cDNA encoding human DNA topoisomerase II and localization of the gene to chromosome region 17q21–22 // Proceedings of the National Academy of Sciences USA. — 1988. — Vol. 85, No. 19. — P. 7177–7181.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Gait M. J. (</w:t>
      </w:r>
      <w:proofErr w:type="gramStart"/>
      <w:r w:rsidRPr="001B0A38">
        <w:rPr>
          <w:sz w:val="26"/>
          <w:szCs w:val="26"/>
          <w:lang w:val="en-US"/>
        </w:rPr>
        <w:t>ed</w:t>
      </w:r>
      <w:proofErr w:type="gramEnd"/>
      <w:r w:rsidRPr="001B0A38">
        <w:rPr>
          <w:sz w:val="26"/>
          <w:szCs w:val="26"/>
          <w:lang w:val="en-US"/>
        </w:rPr>
        <w:t>.). Oligonucleotide Synthesis: A Practical Approach. — Oxford: IRL Press, 1984. — 217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Järvinen</w:t>
      </w:r>
      <w:proofErr w:type="spellEnd"/>
      <w:r w:rsidRPr="001B0A38">
        <w:rPr>
          <w:sz w:val="26"/>
          <w:szCs w:val="26"/>
          <w:lang w:val="en-US"/>
        </w:rPr>
        <w:t xml:space="preserve"> T. A. et al. Amplification and deletion of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associate with ErbB-2 amplification and affect sensitivity to topoisomerase II inhibitor doxorubicin in breast cancer // American Journal of Pathology. — 2000. — Vol. 156, No. 3. — P. 839–847.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Matteucci</w:t>
      </w:r>
      <w:proofErr w:type="spellEnd"/>
      <w:r w:rsidRPr="001B0A38">
        <w:rPr>
          <w:sz w:val="26"/>
          <w:szCs w:val="26"/>
          <w:lang w:val="en-US"/>
        </w:rPr>
        <w:t xml:space="preserve"> M. D., Caruthers M. H. Synthesis of </w:t>
      </w:r>
      <w:proofErr w:type="spellStart"/>
      <w:r w:rsidRPr="001B0A38">
        <w:rPr>
          <w:sz w:val="26"/>
          <w:szCs w:val="26"/>
          <w:lang w:val="en-US"/>
        </w:rPr>
        <w:t>deoxyoligonucleotides</w:t>
      </w:r>
      <w:proofErr w:type="spellEnd"/>
      <w:r w:rsidRPr="001B0A38">
        <w:rPr>
          <w:sz w:val="26"/>
          <w:szCs w:val="26"/>
          <w:lang w:val="en-US"/>
        </w:rPr>
        <w:t xml:space="preserve"> on a polymer support // Journal of the American Chemical Society. — 1981. — Vol. 103, No. 11. — P. 3185–3191.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 xml:space="preserve">Saiki R. K. et al. Primer-directed enzymatic amplification of DNA with a </w:t>
      </w:r>
      <w:proofErr w:type="spellStart"/>
      <w:r w:rsidRPr="001B0A38">
        <w:rPr>
          <w:sz w:val="26"/>
          <w:szCs w:val="26"/>
          <w:lang w:val="en-US"/>
        </w:rPr>
        <w:t>thermostable</w:t>
      </w:r>
      <w:proofErr w:type="spellEnd"/>
      <w:r w:rsidRPr="001B0A38">
        <w:rPr>
          <w:sz w:val="26"/>
          <w:szCs w:val="26"/>
          <w:lang w:val="en-US"/>
        </w:rPr>
        <w:t xml:space="preserve"> DNA polymerase // Science. — 1988. — Vol. 239, No. 4839. — P. 487–491.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Sambrook</w:t>
      </w:r>
      <w:proofErr w:type="spellEnd"/>
      <w:r w:rsidRPr="001B0A38">
        <w:rPr>
          <w:sz w:val="26"/>
          <w:szCs w:val="26"/>
          <w:lang w:val="en-US"/>
        </w:rPr>
        <w:t xml:space="preserve"> J., Russell D. W. Molecular Cloning: A Laboratory Manual. — 3rd ed. — Cold Spring Harbor: CSHL Press, 2001. — 2344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Järvinen</w:t>
      </w:r>
      <w:proofErr w:type="spellEnd"/>
      <w:r w:rsidRPr="001B0A38">
        <w:rPr>
          <w:sz w:val="26"/>
          <w:szCs w:val="26"/>
          <w:lang w:val="en-US"/>
        </w:rPr>
        <w:t xml:space="preserve"> T. A., Liu E. T. HER-2/</w:t>
      </w:r>
      <w:proofErr w:type="spellStart"/>
      <w:r w:rsidRPr="001B0A38">
        <w:rPr>
          <w:sz w:val="26"/>
          <w:szCs w:val="26"/>
          <w:lang w:val="en-US"/>
        </w:rPr>
        <w:t>neu</w:t>
      </w:r>
      <w:proofErr w:type="spellEnd"/>
      <w:r w:rsidRPr="001B0A38">
        <w:rPr>
          <w:sz w:val="26"/>
          <w:szCs w:val="26"/>
          <w:lang w:val="en-US"/>
        </w:rPr>
        <w:t xml:space="preserve"> and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in breast cancer // Breast Cancer Research and Treatment. — 2003. — Vol. 78, No. 3. — P. 299–311.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Livak</w:t>
      </w:r>
      <w:proofErr w:type="spellEnd"/>
      <w:r w:rsidRPr="001B0A38">
        <w:rPr>
          <w:sz w:val="26"/>
          <w:szCs w:val="26"/>
          <w:lang w:val="en-US"/>
        </w:rPr>
        <w:t xml:space="preserve"> K. J., </w:t>
      </w:r>
      <w:proofErr w:type="spellStart"/>
      <w:r w:rsidRPr="001B0A38">
        <w:rPr>
          <w:sz w:val="26"/>
          <w:szCs w:val="26"/>
          <w:lang w:val="en-US"/>
        </w:rPr>
        <w:t>Schmittgen</w:t>
      </w:r>
      <w:proofErr w:type="spellEnd"/>
      <w:r w:rsidRPr="001B0A38">
        <w:rPr>
          <w:sz w:val="26"/>
          <w:szCs w:val="26"/>
          <w:lang w:val="en-US"/>
        </w:rPr>
        <w:t xml:space="preserve"> T. D. Analysis of relative gene expression data using real-time quantitative PCR and the 2</w:t>
      </w:r>
      <w:proofErr w:type="gramStart"/>
      <w:r w:rsidRPr="001B0A38">
        <w:rPr>
          <w:sz w:val="26"/>
          <w:szCs w:val="26"/>
          <w:lang w:val="en-US"/>
        </w:rPr>
        <w:t>^(</w:t>
      </w:r>
      <w:proofErr w:type="gramEnd"/>
      <w:r w:rsidRPr="001B0A38">
        <w:rPr>
          <w:sz w:val="26"/>
          <w:szCs w:val="26"/>
          <w:lang w:val="en-US"/>
        </w:rPr>
        <w:t>−</w:t>
      </w:r>
      <w:r>
        <w:rPr>
          <w:sz w:val="26"/>
          <w:szCs w:val="26"/>
        </w:rPr>
        <w:t>ΔΔ</w:t>
      </w:r>
      <w:r w:rsidRPr="001B0A38">
        <w:rPr>
          <w:sz w:val="26"/>
          <w:szCs w:val="26"/>
          <w:lang w:val="en-US"/>
        </w:rPr>
        <w:t>Ct) method // Methods. — 2001. — Vol. 25, No. 4. — P. 402–408.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Ye J. et al. Primer-BLAST: a tool to design target-specific primers for polymerase chain reaction // BMC Bioinformatics. — 2012. — Vol. 13. — Art. 134.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Khvorova</w:t>
      </w:r>
      <w:proofErr w:type="spellEnd"/>
      <w:r w:rsidRPr="001B0A38">
        <w:rPr>
          <w:sz w:val="26"/>
          <w:szCs w:val="26"/>
          <w:lang w:val="en-US"/>
        </w:rPr>
        <w:t xml:space="preserve"> A., Watts J. K. The chemical evolution of oligonucleotide therapies of clinical utility // Nature Biotechnology. — 2017. — Vol. 35, No. 3. — P. 238–248.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Caruthers M. H. Gene synthesis machines: DNA chemistry and its uses // Science. — 1985. — Vol. 230, No. 4723. — P. 281–285.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Sinha N. D., </w:t>
      </w:r>
      <w:proofErr w:type="spellStart"/>
      <w:r w:rsidRPr="001B0A38">
        <w:rPr>
          <w:sz w:val="26"/>
          <w:szCs w:val="26"/>
          <w:lang w:val="en-US"/>
        </w:rPr>
        <w:t>Biernat</w:t>
      </w:r>
      <w:proofErr w:type="spellEnd"/>
      <w:r w:rsidRPr="001B0A38">
        <w:rPr>
          <w:sz w:val="26"/>
          <w:szCs w:val="26"/>
          <w:lang w:val="en-US"/>
        </w:rPr>
        <w:t xml:space="preserve"> J., McManus J., </w:t>
      </w:r>
      <w:proofErr w:type="spellStart"/>
      <w:r w:rsidRPr="001B0A38">
        <w:rPr>
          <w:sz w:val="26"/>
          <w:szCs w:val="26"/>
          <w:lang w:val="en-US"/>
        </w:rPr>
        <w:t>Köster</w:t>
      </w:r>
      <w:proofErr w:type="spellEnd"/>
      <w:r w:rsidRPr="001B0A38">
        <w:rPr>
          <w:sz w:val="26"/>
          <w:szCs w:val="26"/>
          <w:lang w:val="en-US"/>
        </w:rPr>
        <w:t xml:space="preserve"> H. Polymer support oligonucleotide synthesis XVIII: use of 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>-</w:t>
      </w:r>
      <w:proofErr w:type="spellStart"/>
      <w:r w:rsidRPr="001B0A38">
        <w:rPr>
          <w:sz w:val="26"/>
          <w:szCs w:val="26"/>
          <w:lang w:val="en-US"/>
        </w:rPr>
        <w:t>cyanoethyl</w:t>
      </w:r>
      <w:proofErr w:type="spellEnd"/>
      <w:r w:rsidRPr="001B0A38">
        <w:rPr>
          <w:sz w:val="26"/>
          <w:szCs w:val="26"/>
          <w:lang w:val="en-US"/>
        </w:rPr>
        <w:t>-N,N-</w:t>
      </w:r>
      <w:proofErr w:type="spellStart"/>
      <w:r w:rsidRPr="001B0A38">
        <w:rPr>
          <w:sz w:val="26"/>
          <w:szCs w:val="26"/>
          <w:lang w:val="en-US"/>
        </w:rPr>
        <w:t>dialkylamino</w:t>
      </w:r>
      <w:proofErr w:type="spellEnd"/>
      <w:r w:rsidRPr="001B0A38">
        <w:rPr>
          <w:sz w:val="26"/>
          <w:szCs w:val="26"/>
          <w:lang w:val="en-US"/>
        </w:rPr>
        <w:t xml:space="preserve"> </w:t>
      </w:r>
      <w:proofErr w:type="spellStart"/>
      <w:r w:rsidRPr="001B0A38">
        <w:rPr>
          <w:sz w:val="26"/>
          <w:szCs w:val="26"/>
          <w:lang w:val="en-US"/>
        </w:rPr>
        <w:t>phosphoramidites</w:t>
      </w:r>
      <w:proofErr w:type="spellEnd"/>
      <w:r w:rsidRPr="001B0A38">
        <w:rPr>
          <w:sz w:val="26"/>
          <w:szCs w:val="26"/>
          <w:lang w:val="en-US"/>
        </w:rPr>
        <w:t xml:space="preserve"> // Nucleic Acids Research. — 1984. — Vol. 12, No. 11. — P. 4539–4557.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Beaucage</w:t>
      </w:r>
      <w:proofErr w:type="spellEnd"/>
      <w:r w:rsidRPr="001B0A38">
        <w:rPr>
          <w:sz w:val="26"/>
          <w:szCs w:val="26"/>
          <w:lang w:val="en-US"/>
        </w:rPr>
        <w:t xml:space="preserve"> S. L., </w:t>
      </w:r>
      <w:proofErr w:type="spellStart"/>
      <w:r w:rsidRPr="001B0A38">
        <w:rPr>
          <w:sz w:val="26"/>
          <w:szCs w:val="26"/>
          <w:lang w:val="en-US"/>
        </w:rPr>
        <w:t>Iyer</w:t>
      </w:r>
      <w:proofErr w:type="spellEnd"/>
      <w:r w:rsidRPr="001B0A38">
        <w:rPr>
          <w:sz w:val="26"/>
          <w:szCs w:val="26"/>
          <w:lang w:val="en-US"/>
        </w:rPr>
        <w:t xml:space="preserve"> R. P. Advances in the synthesis of oligonucleotides by the </w:t>
      </w:r>
      <w:proofErr w:type="spellStart"/>
      <w:r w:rsidRPr="001B0A38">
        <w:rPr>
          <w:sz w:val="26"/>
          <w:szCs w:val="26"/>
          <w:lang w:val="en-US"/>
        </w:rPr>
        <w:t>phosphoramidite</w:t>
      </w:r>
      <w:proofErr w:type="spellEnd"/>
      <w:r w:rsidRPr="001B0A38">
        <w:rPr>
          <w:sz w:val="26"/>
          <w:szCs w:val="26"/>
          <w:lang w:val="en-US"/>
        </w:rPr>
        <w:t xml:space="preserve"> approach // Tetrahedron. — 1992. — Vol. 48, No. 12. — P. 2223–2311.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Reese C. B. </w:t>
      </w:r>
      <w:proofErr w:type="spellStart"/>
      <w:r w:rsidRPr="001B0A38">
        <w:rPr>
          <w:sz w:val="26"/>
          <w:szCs w:val="26"/>
          <w:lang w:val="en-US"/>
        </w:rPr>
        <w:t>Oligo</w:t>
      </w:r>
      <w:proofErr w:type="spellEnd"/>
      <w:r w:rsidRPr="001B0A38">
        <w:rPr>
          <w:sz w:val="26"/>
          <w:szCs w:val="26"/>
          <w:lang w:val="en-US"/>
        </w:rPr>
        <w:t xml:space="preserve">- and poly-nucleotides: 50 years of chemical synthesis // Organic &amp; </w:t>
      </w:r>
      <w:proofErr w:type="spellStart"/>
      <w:r w:rsidRPr="001B0A38">
        <w:rPr>
          <w:sz w:val="26"/>
          <w:szCs w:val="26"/>
          <w:lang w:val="en-US"/>
        </w:rPr>
        <w:t>Biomolecular</w:t>
      </w:r>
      <w:proofErr w:type="spellEnd"/>
      <w:r w:rsidRPr="001B0A38">
        <w:rPr>
          <w:sz w:val="26"/>
          <w:szCs w:val="26"/>
          <w:lang w:val="en-US"/>
        </w:rPr>
        <w:t xml:space="preserve"> Chemistry. — 2005. — Vol. 3, No. 21. — P. 3851–3868.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Hughes R. A., Ellington A. D. Synthetic DNA synthesis and assembly: putting the synthetic in synthetic biology // Cold Spring Harbor Perspectives in Biology. — 2017. — Vol. 9, No. 1. — Art. a023812.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Kosuri</w:t>
      </w:r>
      <w:proofErr w:type="spellEnd"/>
      <w:r w:rsidRPr="001B0A38">
        <w:rPr>
          <w:sz w:val="26"/>
          <w:szCs w:val="26"/>
          <w:lang w:val="en-US"/>
        </w:rPr>
        <w:t xml:space="preserve"> S., Church G. M. Large-scale de novo DNA synthesis: technologies and applications // Nature Methods. — 2014. — Vol. 11, No. 5. — P. 499–507.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Roy S., Caruthers M. Synthesis of DNA/RNA and their analogs via </w:t>
      </w:r>
      <w:proofErr w:type="spellStart"/>
      <w:r w:rsidRPr="001B0A38">
        <w:rPr>
          <w:sz w:val="26"/>
          <w:szCs w:val="26"/>
          <w:lang w:val="en-US"/>
        </w:rPr>
        <w:t>phosphoramidite</w:t>
      </w:r>
      <w:proofErr w:type="spellEnd"/>
      <w:r w:rsidRPr="001B0A38">
        <w:rPr>
          <w:sz w:val="26"/>
          <w:szCs w:val="26"/>
          <w:lang w:val="en-US"/>
        </w:rPr>
        <w:t xml:space="preserve"> and H-</w:t>
      </w:r>
      <w:proofErr w:type="spellStart"/>
      <w:r w:rsidRPr="001B0A38">
        <w:rPr>
          <w:sz w:val="26"/>
          <w:szCs w:val="26"/>
          <w:lang w:val="en-US"/>
        </w:rPr>
        <w:t>phosphonate</w:t>
      </w:r>
      <w:proofErr w:type="spellEnd"/>
      <w:r w:rsidRPr="001B0A38">
        <w:rPr>
          <w:sz w:val="26"/>
          <w:szCs w:val="26"/>
          <w:lang w:val="en-US"/>
        </w:rPr>
        <w:t xml:space="preserve"> chemistries // Molecules. — 2013. — Vol. 18, No. 11. — P. 14268–14284.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Berger J. M., </w:t>
      </w:r>
      <w:proofErr w:type="spellStart"/>
      <w:r w:rsidRPr="001B0A38">
        <w:rPr>
          <w:sz w:val="26"/>
          <w:szCs w:val="26"/>
          <w:lang w:val="en-US"/>
        </w:rPr>
        <w:t>Gamblin</w:t>
      </w:r>
      <w:proofErr w:type="spellEnd"/>
      <w:r w:rsidRPr="001B0A38">
        <w:rPr>
          <w:sz w:val="26"/>
          <w:szCs w:val="26"/>
          <w:lang w:val="en-US"/>
        </w:rPr>
        <w:t xml:space="preserve"> S. J., Harrison S. C., Wang J. C. Structure and mechanism of DNA topoisomerase II // Nature. — 1996. — Vol. 379, No. 6562. — P. 225–232.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>Wang J. C. Untangling the Double Helix: DNA Entanglement and the Action of the DNA Topoisomerases. — Cold Spring Harbor: CSHL Press, 2009. — 245 p.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Deweese</w:t>
      </w:r>
      <w:proofErr w:type="spellEnd"/>
      <w:r w:rsidRPr="001B0A38">
        <w:rPr>
          <w:sz w:val="26"/>
          <w:szCs w:val="26"/>
          <w:lang w:val="en-US"/>
        </w:rPr>
        <w:t xml:space="preserve"> J. E., </w:t>
      </w:r>
      <w:proofErr w:type="spellStart"/>
      <w:r w:rsidRPr="001B0A38">
        <w:rPr>
          <w:sz w:val="26"/>
          <w:szCs w:val="26"/>
          <w:lang w:val="en-US"/>
        </w:rPr>
        <w:t>Osheroff</w:t>
      </w:r>
      <w:proofErr w:type="spellEnd"/>
      <w:r w:rsidRPr="001B0A38">
        <w:rPr>
          <w:sz w:val="26"/>
          <w:szCs w:val="26"/>
          <w:lang w:val="en-US"/>
        </w:rPr>
        <w:t xml:space="preserve"> N. The DNA cleavage reaction of topoisomerase II: wolf in sheep's clothing // Nucleic Acids Research. — 2009. — Vol. 37, No. 3. — P. 738–748.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Pommier</w:t>
      </w:r>
      <w:proofErr w:type="spellEnd"/>
      <w:r w:rsidRPr="001B0A38">
        <w:rPr>
          <w:sz w:val="26"/>
          <w:szCs w:val="26"/>
          <w:lang w:val="en-US"/>
        </w:rPr>
        <w:t xml:space="preserve"> Y., Leo E., Zhang H., </w:t>
      </w:r>
      <w:proofErr w:type="spellStart"/>
      <w:r w:rsidRPr="001B0A38">
        <w:rPr>
          <w:sz w:val="26"/>
          <w:szCs w:val="26"/>
          <w:lang w:val="en-US"/>
        </w:rPr>
        <w:t>Marchand</w:t>
      </w:r>
      <w:proofErr w:type="spellEnd"/>
      <w:r w:rsidRPr="001B0A38">
        <w:rPr>
          <w:sz w:val="26"/>
          <w:szCs w:val="26"/>
          <w:lang w:val="en-US"/>
        </w:rPr>
        <w:t xml:space="preserve"> C. DNA topoisomerases and their poisoning by anticancer and antibacterial drugs // Chemistry &amp; Biology. — 2010. — Vol. 17, No. 5. — P. 421–433.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Vos</w:t>
      </w:r>
      <w:proofErr w:type="spellEnd"/>
      <w:r w:rsidRPr="001B0A38">
        <w:rPr>
          <w:sz w:val="26"/>
          <w:szCs w:val="26"/>
          <w:lang w:val="en-US"/>
        </w:rPr>
        <w:t xml:space="preserve"> S. M., </w:t>
      </w:r>
      <w:proofErr w:type="spellStart"/>
      <w:r w:rsidRPr="001B0A38">
        <w:rPr>
          <w:sz w:val="26"/>
          <w:szCs w:val="26"/>
          <w:lang w:val="en-US"/>
        </w:rPr>
        <w:t>Tretter</w:t>
      </w:r>
      <w:proofErr w:type="spellEnd"/>
      <w:r w:rsidRPr="001B0A38">
        <w:rPr>
          <w:sz w:val="26"/>
          <w:szCs w:val="26"/>
          <w:lang w:val="en-US"/>
        </w:rPr>
        <w:t xml:space="preserve"> E. M., Schmidt B. H., Berger J. M. All tangled up: how cells direct, manage and exploit topoisomerase function // Nature Reviews Molecular Cell Biology. — 2011. — Vol. 12, No. 12. — P. 827–841.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Austin C. A., Marsh K. L. Eukaryotic DNA topoisomerase II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 xml:space="preserve"> // </w:t>
      </w:r>
      <w:proofErr w:type="spellStart"/>
      <w:r w:rsidRPr="001B0A38">
        <w:rPr>
          <w:sz w:val="26"/>
          <w:szCs w:val="26"/>
          <w:lang w:val="en-US"/>
        </w:rPr>
        <w:t>BioEssays</w:t>
      </w:r>
      <w:proofErr w:type="spellEnd"/>
      <w:r w:rsidRPr="001B0A38">
        <w:rPr>
          <w:sz w:val="26"/>
          <w:szCs w:val="26"/>
          <w:lang w:val="en-US"/>
        </w:rPr>
        <w:t>. — 1998. — Vol. 20, No. 3. — P. 215–226.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Coon J. S. et al. Amplification and overexpression of topoisomerase II</w:t>
      </w:r>
      <w:r>
        <w:rPr>
          <w:sz w:val="26"/>
          <w:szCs w:val="26"/>
        </w:rPr>
        <w:t>α</w:t>
      </w:r>
      <w:r w:rsidRPr="001B0A38">
        <w:rPr>
          <w:sz w:val="26"/>
          <w:szCs w:val="26"/>
          <w:lang w:val="en-US"/>
        </w:rPr>
        <w:t xml:space="preserve"> predict response to </w:t>
      </w:r>
      <w:proofErr w:type="spellStart"/>
      <w:r w:rsidRPr="001B0A38">
        <w:rPr>
          <w:sz w:val="26"/>
          <w:szCs w:val="26"/>
          <w:lang w:val="en-US"/>
        </w:rPr>
        <w:t>anthracycline</w:t>
      </w:r>
      <w:proofErr w:type="spellEnd"/>
      <w:r w:rsidRPr="001B0A38">
        <w:rPr>
          <w:sz w:val="26"/>
          <w:szCs w:val="26"/>
          <w:lang w:val="en-US"/>
        </w:rPr>
        <w:t>-based therapy // Clinical Cancer Research. — 2002. — Vol. 8, No. 4. — P. 1061–1067.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Burgess D. J. et al. Topoisomerase levels determine chemotherapy response in vitro and in vivo // Proceedings of the National Academy of Sciences USA. — 2008. — Vol. 105, No. 26. — P. 9053–9058.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Lee J. H., Berger J. M. Cell cycle-dependent control and roles of DNA topoisomerase II // Genes. — 2019. — Vol. 10, No. 11. — Art. 859.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McClendon A. K., </w:t>
      </w:r>
      <w:proofErr w:type="spellStart"/>
      <w:r w:rsidRPr="001B0A38">
        <w:rPr>
          <w:sz w:val="26"/>
          <w:szCs w:val="26"/>
          <w:lang w:val="en-US"/>
        </w:rPr>
        <w:t>Osheroff</w:t>
      </w:r>
      <w:proofErr w:type="spellEnd"/>
      <w:r w:rsidRPr="001B0A38">
        <w:rPr>
          <w:sz w:val="26"/>
          <w:szCs w:val="26"/>
          <w:lang w:val="en-US"/>
        </w:rPr>
        <w:t xml:space="preserve"> N. DNA topoisomerase II, </w:t>
      </w:r>
      <w:proofErr w:type="spellStart"/>
      <w:r w:rsidRPr="001B0A38">
        <w:rPr>
          <w:sz w:val="26"/>
          <w:szCs w:val="26"/>
          <w:lang w:val="en-US"/>
        </w:rPr>
        <w:t>genotoxicity</w:t>
      </w:r>
      <w:proofErr w:type="spellEnd"/>
      <w:r w:rsidRPr="001B0A38">
        <w:rPr>
          <w:sz w:val="26"/>
          <w:szCs w:val="26"/>
          <w:lang w:val="en-US"/>
        </w:rPr>
        <w:t>, and cancer // Mutation Research. — 2007. — Vol. 623, No. 1–2. — P. 83–97.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 xml:space="preserve">Saiki R. K. et al. Enzymatic amplification of </w:t>
      </w:r>
      <w:r>
        <w:rPr>
          <w:sz w:val="26"/>
          <w:szCs w:val="26"/>
        </w:rPr>
        <w:t>β</w:t>
      </w:r>
      <w:r w:rsidRPr="001B0A38">
        <w:rPr>
          <w:sz w:val="26"/>
          <w:szCs w:val="26"/>
          <w:lang w:val="en-US"/>
        </w:rPr>
        <w:t>-globin genomic sequences and restriction site analysis for diagnosis of sickle cell anemia // Science. — 1985. — Vol. 230, No. 4732. — P. 1350–1354.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Higuchi R. et al. Kinetic PCR analysis: real-time monitoring of DNA amplification reactions // Bio/Technology. — 1993. — Vol. 11, No. 9. — P. 1026–1030.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Heid</w:t>
      </w:r>
      <w:proofErr w:type="spellEnd"/>
      <w:r w:rsidRPr="001B0A38">
        <w:rPr>
          <w:sz w:val="26"/>
          <w:szCs w:val="26"/>
          <w:lang w:val="en-US"/>
        </w:rPr>
        <w:t xml:space="preserve"> C. A. et al. Real time quantitative PCR // Genome Research. — 1996. — Vol. 6, No. 10. — P. 986–994.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et al. The MIQE guidelines: minimum information for publication of quantitative real-time PCR experiments // Clinical Chemistry. — 2009. — Vol. 55, No. 4. — P. 611–622.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Pfaffl</w:t>
      </w:r>
      <w:proofErr w:type="spellEnd"/>
      <w:r w:rsidRPr="001B0A38">
        <w:rPr>
          <w:sz w:val="26"/>
          <w:szCs w:val="26"/>
          <w:lang w:val="en-US"/>
        </w:rPr>
        <w:t xml:space="preserve"> M. W. A new mathematical model for relative quantification in real-time RT-PCR // Nucleic Acids Research. — 2001. — Vol. 29, No. 9. — Art. e45.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lastRenderedPageBreak/>
        <w:t xml:space="preserve">Nolan T., Hands R. E., </w:t>
      </w:r>
      <w:proofErr w:type="spellStart"/>
      <w:r w:rsidRPr="001B0A38">
        <w:rPr>
          <w:sz w:val="26"/>
          <w:szCs w:val="26"/>
          <w:lang w:val="en-US"/>
        </w:rPr>
        <w:t>Bustin</w:t>
      </w:r>
      <w:proofErr w:type="spellEnd"/>
      <w:r w:rsidRPr="001B0A38">
        <w:rPr>
          <w:sz w:val="26"/>
          <w:szCs w:val="26"/>
          <w:lang w:val="en-US"/>
        </w:rPr>
        <w:t xml:space="preserve"> S. A. Quantification of mRNA using real-time RT-PCR // Nature Protocols. — 2006. — Vol. 1, No. 3. — P. 1559–1582.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VanGuilder</w:t>
      </w:r>
      <w:proofErr w:type="spellEnd"/>
      <w:r w:rsidRPr="001B0A38">
        <w:rPr>
          <w:sz w:val="26"/>
          <w:szCs w:val="26"/>
          <w:lang w:val="en-US"/>
        </w:rPr>
        <w:t xml:space="preserve"> H. D., </w:t>
      </w:r>
      <w:proofErr w:type="spellStart"/>
      <w:r w:rsidRPr="001B0A38">
        <w:rPr>
          <w:sz w:val="26"/>
          <w:szCs w:val="26"/>
          <w:lang w:val="en-US"/>
        </w:rPr>
        <w:t>Vrana</w:t>
      </w:r>
      <w:proofErr w:type="spellEnd"/>
      <w:r w:rsidRPr="001B0A38">
        <w:rPr>
          <w:sz w:val="26"/>
          <w:szCs w:val="26"/>
          <w:lang w:val="en-US"/>
        </w:rPr>
        <w:t xml:space="preserve"> K. E., Freeman W. M. Twenty-five years of quantitative PCR for gene expression analysis // </w:t>
      </w:r>
      <w:proofErr w:type="spellStart"/>
      <w:r w:rsidRPr="001B0A38">
        <w:rPr>
          <w:sz w:val="26"/>
          <w:szCs w:val="26"/>
          <w:lang w:val="en-US"/>
        </w:rPr>
        <w:t>BioTechniques</w:t>
      </w:r>
      <w:proofErr w:type="spellEnd"/>
      <w:r w:rsidRPr="001B0A38">
        <w:rPr>
          <w:sz w:val="26"/>
          <w:szCs w:val="26"/>
          <w:lang w:val="en-US"/>
        </w:rPr>
        <w:t>. — 2008. — Vol. 44, No. 5. — P. 619–626.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Vandesompele</w:t>
      </w:r>
      <w:proofErr w:type="spellEnd"/>
      <w:r w:rsidRPr="001B0A38">
        <w:rPr>
          <w:sz w:val="26"/>
          <w:szCs w:val="26"/>
          <w:lang w:val="en-US"/>
        </w:rPr>
        <w:t xml:space="preserve"> J. et al. Accurate normalization of real-time quantitative RT-PCR data by geometric averaging of multiple internal control genes // Genome Biology. — 2002. — Vol. 3, No. 7. — RESEARCH0034.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Hindson</w:t>
      </w:r>
      <w:proofErr w:type="spellEnd"/>
      <w:r w:rsidRPr="001B0A38">
        <w:rPr>
          <w:sz w:val="26"/>
          <w:szCs w:val="26"/>
          <w:lang w:val="en-US"/>
        </w:rPr>
        <w:t xml:space="preserve"> B. J. et al. High-throughput droplet digital PCR system for absolute quantitation of DNA copy number // Analytical Chemistry. — 2011. — Vol. 83, No. 22. — P. 8604–8610.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Wittwer</w:t>
      </w:r>
      <w:proofErr w:type="spellEnd"/>
      <w:r w:rsidRPr="001B0A38">
        <w:rPr>
          <w:sz w:val="26"/>
          <w:szCs w:val="26"/>
          <w:lang w:val="en-US"/>
        </w:rPr>
        <w:t xml:space="preserve"> C. T. et al. Continuous fluorescence monitoring of rapid cycle DNA amplification // </w:t>
      </w:r>
      <w:proofErr w:type="spellStart"/>
      <w:r w:rsidRPr="001B0A38">
        <w:rPr>
          <w:sz w:val="26"/>
          <w:szCs w:val="26"/>
          <w:lang w:val="en-US"/>
        </w:rPr>
        <w:t>BioTechniques</w:t>
      </w:r>
      <w:proofErr w:type="spellEnd"/>
      <w:r w:rsidRPr="001B0A38">
        <w:rPr>
          <w:sz w:val="26"/>
          <w:szCs w:val="26"/>
          <w:lang w:val="en-US"/>
        </w:rPr>
        <w:t>. — 1997. — Vol. 22, No. 1. — P. 130–138.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Ririe</w:t>
      </w:r>
      <w:proofErr w:type="spellEnd"/>
      <w:r w:rsidRPr="001B0A38">
        <w:rPr>
          <w:sz w:val="26"/>
          <w:szCs w:val="26"/>
          <w:lang w:val="en-US"/>
        </w:rPr>
        <w:t xml:space="preserve"> K. M., Rasmussen R. P., </w:t>
      </w:r>
      <w:proofErr w:type="spellStart"/>
      <w:r w:rsidRPr="001B0A38">
        <w:rPr>
          <w:sz w:val="26"/>
          <w:szCs w:val="26"/>
          <w:lang w:val="en-US"/>
        </w:rPr>
        <w:t>Wittwer</w:t>
      </w:r>
      <w:proofErr w:type="spellEnd"/>
      <w:r w:rsidRPr="001B0A38">
        <w:rPr>
          <w:sz w:val="26"/>
          <w:szCs w:val="26"/>
          <w:lang w:val="en-US"/>
        </w:rPr>
        <w:t xml:space="preserve"> C. T. Product differentiation by analysis of DNA melting curves during the polymerase chain reaction // Analytical Biochemistry. — 1997. — Vol. 245, No. 2. — P. 154–160.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Untergasser</w:t>
      </w:r>
      <w:proofErr w:type="spellEnd"/>
      <w:r w:rsidRPr="001B0A38">
        <w:rPr>
          <w:sz w:val="26"/>
          <w:szCs w:val="26"/>
          <w:lang w:val="en-US"/>
        </w:rPr>
        <w:t xml:space="preserve"> A. et al. Primer3 — new capabilities and interfaces // Nucleic Acids Research. — 2012. — Vol. 40, No. 15. — Art. e115.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Rozen</w:t>
      </w:r>
      <w:proofErr w:type="spellEnd"/>
      <w:r w:rsidRPr="001B0A38">
        <w:rPr>
          <w:sz w:val="26"/>
          <w:szCs w:val="26"/>
          <w:lang w:val="en-US"/>
        </w:rPr>
        <w:t xml:space="preserve"> S., </w:t>
      </w:r>
      <w:proofErr w:type="spellStart"/>
      <w:r w:rsidRPr="001B0A38">
        <w:rPr>
          <w:sz w:val="26"/>
          <w:szCs w:val="26"/>
          <w:lang w:val="en-US"/>
        </w:rPr>
        <w:t>Skaletsky</w:t>
      </w:r>
      <w:proofErr w:type="spellEnd"/>
      <w:r w:rsidRPr="001B0A38">
        <w:rPr>
          <w:sz w:val="26"/>
          <w:szCs w:val="26"/>
          <w:lang w:val="en-US"/>
        </w:rPr>
        <w:t xml:space="preserve"> H. Primer3 on the WWW for general users and for biologist programmers // Methods in Molecular Biology. — 2000. — Vol. 132. — P. 365–386.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SantaLucia</w:t>
      </w:r>
      <w:proofErr w:type="spellEnd"/>
      <w:r w:rsidRPr="001B0A38">
        <w:rPr>
          <w:sz w:val="26"/>
          <w:szCs w:val="26"/>
          <w:lang w:val="en-US"/>
        </w:rPr>
        <w:t xml:space="preserve"> J. Jr. A unified view of polymer, dumbbell, and oligonucleotide DNA nearest-neighbor thermodynamics // Proceedings of the National Academy of Sciences USA. — 1998. — Vol. 95, No. 4. — P. 1460–1465.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proofErr w:type="spellStart"/>
      <w:r w:rsidRPr="001B0A38">
        <w:rPr>
          <w:sz w:val="26"/>
          <w:szCs w:val="26"/>
          <w:lang w:val="en-US"/>
        </w:rPr>
        <w:t>Dieffenbach</w:t>
      </w:r>
      <w:proofErr w:type="spellEnd"/>
      <w:r w:rsidRPr="001B0A38">
        <w:rPr>
          <w:sz w:val="26"/>
          <w:szCs w:val="26"/>
          <w:lang w:val="en-US"/>
        </w:rPr>
        <w:t xml:space="preserve"> C. W., Lowe T. M., </w:t>
      </w:r>
      <w:proofErr w:type="spellStart"/>
      <w:r w:rsidRPr="001B0A38">
        <w:rPr>
          <w:sz w:val="26"/>
          <w:szCs w:val="26"/>
          <w:lang w:val="en-US"/>
        </w:rPr>
        <w:t>Dveksler</w:t>
      </w:r>
      <w:proofErr w:type="spellEnd"/>
      <w:r w:rsidRPr="001B0A38">
        <w:rPr>
          <w:sz w:val="26"/>
          <w:szCs w:val="26"/>
          <w:lang w:val="en-US"/>
        </w:rPr>
        <w:t xml:space="preserve"> G. S. General concepts for PCR primer design // PCR Methods and Applications. — 1993. — Vol. 3, No. 3. — P. S30–S37.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Bennett C. F., Swayze E. E. RNA targeting therapeutics: molecular mechanisms of antisense oligonucleotides // Annual Review of Pharmacology and Toxicology. — 2010. — Vol. 50. — P. 259–293.</w:t>
      </w:r>
    </w:p>
    <w:p w:rsidR="00DD7CA5" w:rsidRPr="001B0A38" w:rsidRDefault="009169FC">
      <w:pPr>
        <w:numPr>
          <w:ilvl w:val="0"/>
          <w:numId w:val="3"/>
        </w:numPr>
        <w:spacing w:after="60" w:line="312" w:lineRule="auto"/>
        <w:jc w:val="both"/>
        <w:rPr>
          <w:lang w:val="en-US"/>
        </w:rPr>
      </w:pPr>
      <w:r w:rsidRPr="001B0A38">
        <w:rPr>
          <w:sz w:val="26"/>
          <w:szCs w:val="26"/>
          <w:lang w:val="en-US"/>
        </w:rPr>
        <w:t>Mullis K. B. The unusual origin of the polymerase chain reaction // Scientific American. — 1990. — Vol. 262, No. 4. — P. 56–65.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proofErr w:type="spellStart"/>
      <w:r>
        <w:rPr>
          <w:sz w:val="26"/>
          <w:szCs w:val="26"/>
        </w:rPr>
        <w:t>Глик</w:t>
      </w:r>
      <w:proofErr w:type="spellEnd"/>
      <w:r>
        <w:rPr>
          <w:sz w:val="26"/>
          <w:szCs w:val="26"/>
        </w:rPr>
        <w:t xml:space="preserve"> Б., Пастернак Дж. Молекулярная биотехнология. Принципы и применение / пер. с англ. — М.: Мир, 2002. — 589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t xml:space="preserve">Ребриков Д. В., </w:t>
      </w:r>
      <w:proofErr w:type="spellStart"/>
      <w:r>
        <w:rPr>
          <w:sz w:val="26"/>
          <w:szCs w:val="26"/>
        </w:rPr>
        <w:t>Саматов</w:t>
      </w:r>
      <w:proofErr w:type="spellEnd"/>
      <w:r>
        <w:rPr>
          <w:sz w:val="26"/>
          <w:szCs w:val="26"/>
        </w:rPr>
        <w:t xml:space="preserve"> Г. А., Трофимов Д. Ю. и др. ПЦР «в реальном времени». — М.: БИНОМ. Лаборатория знаний, 2009. — 223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lastRenderedPageBreak/>
        <w:t>Патрушев Л. И. Экспрессия генов. — М.: Наука, 2000. — 830 с.</w:t>
      </w:r>
    </w:p>
    <w:p w:rsidR="00DD7CA5" w:rsidRDefault="009169FC">
      <w:pPr>
        <w:numPr>
          <w:ilvl w:val="0"/>
          <w:numId w:val="3"/>
        </w:numPr>
        <w:spacing w:after="60" w:line="312" w:lineRule="auto"/>
        <w:jc w:val="both"/>
      </w:pPr>
      <w:r>
        <w:rPr>
          <w:sz w:val="26"/>
          <w:szCs w:val="26"/>
        </w:rPr>
        <w:t>Щелкунов С. Н. Генетическая инженерия. — Новосибирск: Сибирское университетское издательство, 2008. — 514 с.</w:t>
      </w:r>
    </w:p>
    <w:sectPr w:rsidR="00DD7CA5">
      <w:foot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2D3" w:rsidRDefault="008362D3">
      <w:pPr>
        <w:spacing w:line="240" w:lineRule="auto"/>
      </w:pPr>
      <w:r>
        <w:separator/>
      </w:r>
    </w:p>
  </w:endnote>
  <w:endnote w:type="continuationSeparator" w:id="0">
    <w:p w:rsidR="008362D3" w:rsidRDefault="00836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7365" w:rsidRDefault="00D17365">
    <w:pPr>
      <w:pStyle w:val="a5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0B01AF">
      <w:rPr>
        <w:noProof/>
        <w:sz w:val="24"/>
      </w:rPr>
      <w:t>40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2D3" w:rsidRDefault="008362D3">
      <w:pPr>
        <w:spacing w:line="240" w:lineRule="auto"/>
      </w:pPr>
      <w:r>
        <w:separator/>
      </w:r>
    </w:p>
  </w:footnote>
  <w:footnote w:type="continuationSeparator" w:id="0">
    <w:p w:rsidR="008362D3" w:rsidRDefault="00836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9255E"/>
    <w:multiLevelType w:val="multilevel"/>
    <w:tmpl w:val="89FC0B46"/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646242F9"/>
    <w:multiLevelType w:val="multilevel"/>
    <w:tmpl w:val="1A7A2B8E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ECB1F32"/>
    <w:multiLevelType w:val="multilevel"/>
    <w:tmpl w:val="11E4D98E"/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A5"/>
    <w:rsid w:val="000B01AF"/>
    <w:rsid w:val="00185212"/>
    <w:rsid w:val="001B0A38"/>
    <w:rsid w:val="00224BF2"/>
    <w:rsid w:val="002B0E3F"/>
    <w:rsid w:val="00302733"/>
    <w:rsid w:val="00320F0C"/>
    <w:rsid w:val="00444C3B"/>
    <w:rsid w:val="006B3FCC"/>
    <w:rsid w:val="007A3028"/>
    <w:rsid w:val="008362D3"/>
    <w:rsid w:val="009169FC"/>
    <w:rsid w:val="00AE39D6"/>
    <w:rsid w:val="00B07F9D"/>
    <w:rsid w:val="00C77041"/>
    <w:rsid w:val="00D17365"/>
    <w:rsid w:val="00DD7CA5"/>
    <w:rsid w:val="00E3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35154C-DE9A-4F29-8159-446BDE7C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spacing w:after="60"/>
    </w:pPr>
  </w:style>
  <w:style w:type="paragraph" w:styleId="20">
    <w:name w:val="toc 2"/>
    <w:basedOn w:val="a"/>
    <w:uiPriority w:val="39"/>
    <w:pPr>
      <w:spacing w:after="60"/>
      <w:ind w:left="240"/>
    </w:pPr>
  </w:style>
  <w:style w:type="paragraph" w:styleId="30">
    <w:name w:val="toc 3"/>
    <w:basedOn w:val="a"/>
    <w:pPr>
      <w:spacing w:after="60"/>
      <w:ind w:left="480"/>
    </w:pPr>
  </w:style>
  <w:style w:type="paragraph" w:styleId="a3">
    <w:name w:val="List Paragraph"/>
    <w:basedOn w:val="a"/>
    <w:pPr>
      <w:ind w:left="720"/>
    </w:pPr>
  </w:style>
  <w:style w:type="table" w:styleId="a4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footer"/>
    <w:basedOn w:val="a"/>
  </w:style>
  <w:style w:type="character" w:styleId="a6">
    <w:name w:val="Hyperlink"/>
    <w:basedOn w:val="a0"/>
    <w:uiPriority w:val="99"/>
    <w:unhideWhenUsed/>
    <w:rsid w:val="001B0A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9212</Words>
  <Characters>52514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ВКР: синтез олигонуклеотидов и анализ экспрессии гена TOP2A</vt:lpstr>
    </vt:vector>
  </TitlesOfParts>
  <Company/>
  <LinksUpToDate>false</LinksUpToDate>
  <CharactersWithSpaces>61603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ВКР: синтез олигонуклеотидов и анализ экспрессии гена TOP2A</dc:title>
  <dc:creator>Студент</dc:creator>
  <cp:lastModifiedBy>MSI</cp:lastModifiedBy>
  <cp:revision>11</cp:revision>
  <dcterms:created xsi:type="dcterms:W3CDTF">2026-06-08T15:06:00Z</dcterms:created>
  <dcterms:modified xsi:type="dcterms:W3CDTF">2026-06-09T11:21:00Z</dcterms:modified>
</cp:coreProperties>
</file>