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2"/>
          <w:szCs w:val="22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«Российский химико-технологический университет имени Д. И. Менделеева»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2"/>
          <w:szCs w:val="22"/>
        </w:rPr>
        <w:t xml:space="preserve">(РХТУ им. Д. И. Менделеева)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2"/>
          <w:szCs w:val="22"/>
        </w:rPr>
        <w:t xml:space="preserve">Факультет ______________________________________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2"/>
          <w:szCs w:val="22"/>
        </w:rPr>
        <w:t xml:space="preserve">Кафедра ______________________________________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30"/>
          <w:szCs w:val="30"/>
        </w:rPr>
        <w:t xml:space="preserve">ВЫПУСКНАЯ КВАЛИФИКАЦИОННАЯ РАБОТА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6"/>
          <w:szCs w:val="26"/>
        </w:rPr>
        <w:t xml:space="preserve">на тему: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«Синтез олигонуклеотидов для изучения экспрессии человеческого гена TOP2 методом полимеразной цепной реакции»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Выполнил: обучающийся выпускного курса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Бахромов Жавохир Орифжонович  ____________</w:t>
      </w:r>
    </w:p>
    <w:p>
      <w:p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Научный руководитель: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канд. хим. наук  Соловьева Инна Николаевна  ____________</w:t>
      </w:r>
    </w:p>
    <w:p>
      <w:p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Работа допущена к защите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Заведующий кафедрой ____________ / Ф.И.О. /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Москва — 2026</w:t>
      </w:r>
    </w:p>
    <w:p>
      <w:r>
        <w:br w:type="page"/>
      </w:r>
    </w:p>
    <w:p>
      <w:pPr>
        <w:jc w:val="center"/>
        <w:spacing w:after="240" w:line="360" w:lineRule="auto"/>
      </w:pPr>
      <w:r>
        <w:rPr>
          <w:rFonts w:ascii="Times New Roman" w:hAnsi="Times New Roman"/>
          <w:b/>
          <w:sz w:val="32"/>
        </w:rPr>
        <w:t>СОДЕРЖАНИЕ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noProof/>
              <w:sz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noProof/>
            </w:rPr>
            <w:t>Обновите поле: правый клик → «Обновить поле».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СПИСОК СОКРАЩЕНИЙ И УСЛОВНЫХ ОБОЗНАЧЕНИЙ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0"/>
        <w:gridCol w:w="6700"/>
      </w:tblGrid>
      <w:tr>
        <w:tc>
          <w:tcPr>
            <w:tcW w:w="26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Сокращение</w:t>
            </w:r>
          </w:p>
        </w:tc>
        <w:tc>
          <w:tcPr>
            <w:tcW w:w="67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Расшифровка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дезоксирибонуклеиновая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мРНК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матричная (информационная) 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кДНК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комплементарная ДНК, синтезируемая на матрице мРНК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полимеразная цепная реакция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ОТ-ПЦР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 с предварительной обратной транскрипцией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ПЦР-РВ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 в реальном времени (количественная ПЦР)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цифровая капельная ПЦР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ВЭЖХ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высокоэффективная жидкостная хроматография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ОФ-ВЭЖХ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обращённо-фазовая высокоэффективная жидкостная хроматография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ПААГ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полиакриламидный гель (электрофорез в ПААГ)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TOP2A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ген ДНК-топоизомеразы II альфа человека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TOP2B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ген ДНК-топоизомеразы II бета человека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Топо II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фермент ДНК-топоизомераза II типа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ДМТ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4,4′-диметокситритильная защитная группа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СПС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стекло с контролируемым размером пор (твердофазный носитель)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ТХУ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трихлоруксусная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ДХУ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дихлоруксусная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АЦН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ацетонитрил (безводный растворитель)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ТГФ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тетрагидрофуран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dNTP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смесь дезоксирибонуклеозидтрифосфатов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Tm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температура плавления (отжига) олигонуклеотида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Cq (Ct)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пороговый цикл количественной ПЦР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ИГХ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иммуногистохимическое окрашивание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п.н.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пара нуклеотидов (единица длины ДНК)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кДа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килодальтон (единица молекулярной массы)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ВВЕДЕНИЕ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Актуальность исследования. </w:t>
      </w:r>
      <w:r>
        <w:rPr>
          <w:rFonts w:ascii="Times New Roman" w:hAnsi="Times New Roman" w:cs="Times New Roman"/>
          <w:sz w:val="28"/>
          <w:szCs w:val="28"/>
        </w:rPr>
        <w:t xml:space="preserve">Поддержание целостности генома и корректное протекание клеточного деления относятся к числу центральных проблем современной молекулярной биологии и биомедицины. Ключевую роль в этих процессах играет фермент ДНК-топоизомераза II альфа, кодируемый геном TOP2A: он управляет топологическим состоянием двойной спирали, снимает избыточное скручивание и обеспечивает разъединение дочерних молекул ДНК при репликации и сегрегации хромосом [1, 2, 7]. Нарушение работы этого фермента ведёт к хромосомным перестройкам, остановке клеточного цикла и запуску запрограммированной гибели клетки.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Поскольку уровень транскрипции гена TOP2A тесно связан с интенсивностью пролиферации, его рассматривают как информативный прогностический биомаркер в онкологии. Количественная оценка матричной РНК TOP2A позволяет судить о скорости роста новообразования и прогнозировать чувствительность опухоли к препаратам, ингибирующим топоизомеразу II, — антрациклинам и этопозиду [3, 4, 11]. Наиболее точным, быстрым и воспроизводимым инструментом измерения экспрессии генов сегодня является полимеразная цепная реакция, прежде всего её количественный вариант в реальном времени, требующий применения строго специфичных олигонуклеотидных праймеров.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Достоверность результатов полимеразной цепной реакции в значительной степени определяется качеством используемых олигонуклеотидов. Фосфорамидитный метод твердофазного синтеза, реализованный на автоматических синтезаторах, обеспечивает получение коротких фрагментов ДНК с высокой селективностью, чистотой и выходом, что делает его базовой технологией молекулярно-генетических лабораторий [5, 6, 12]. Таким образом, последовательное рассмотрение трёх взаимосвязанных звеньев — химического синтеза олигонуклеотидов, биологии гена TOP2A и методологии полимеразной цепной реакции — представляет собой единую логическую цепь, лежащую в основе современной молекулярной диагностики.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 — </w:t>
      </w:r>
      <w:r>
        <w:rPr>
          <w:rFonts w:ascii="Times New Roman" w:hAnsi="Times New Roman" w:cs="Times New Roman"/>
          <w:sz w:val="28"/>
          <w:szCs w:val="28"/>
        </w:rPr>
        <w:t xml:space="preserve">теоретическое обоснование стадий фосфорамидитного синтеза олигонуклеотидов и разработка алгоритма анализа экспрессии гена TOP2A человека методом полимеразной цепной реакции с обратной транскрипцией.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Задачи исследования: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изучить химизм и технологические стадии твердофазного фосфорамидитного синтеза олигонуклеотидов, включая систему защитных групп и методы очистки продукта;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систематизировать сведения о структурно-функциональной организации гена TOP2A человека, каталитическом механизме и клиническом значении кодируемого им фермента;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рассмотреть теоретические и методические основы полимеразной цепной реакции и её количественных модификаций применительно к измерению экспрессии генов;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выполнить биоинформатический подбор специфичных праймеров к гену TOP2A и составить протокол их синтеза, очистки и применения в количественной ОТ-ПЦР;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сформулировать рекомендации по обеспечению воспроизводимости и достоверности анализа экспрессии гена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— </w:t>
      </w:r>
      <w:r>
        <w:rPr>
          <w:rFonts w:ascii="Times New Roman" w:hAnsi="Times New Roman" w:cs="Times New Roman"/>
          <w:sz w:val="28"/>
          <w:szCs w:val="28"/>
        </w:rPr>
        <w:t xml:space="preserve">процессы химического синтеза олигонуклеотидов и молекулярно-генетического анализа экспрессии генов человека.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Предмет исследования — </w:t>
      </w:r>
      <w:r>
        <w:rPr>
          <w:rFonts w:ascii="Times New Roman" w:hAnsi="Times New Roman" w:cs="Times New Roman"/>
          <w:sz w:val="28"/>
          <w:szCs w:val="28"/>
        </w:rPr>
        <w:t xml:space="preserve">совокупность химических стадий фосфорамидитного синтеза и методических приёмов количественной полимеразной цепной реакции при детекции матричной РНК гена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Методы исследования. </w:t>
      </w:r>
      <w:r>
        <w:rPr>
          <w:rFonts w:ascii="Times New Roman" w:hAnsi="Times New Roman" w:cs="Times New Roman"/>
          <w:sz w:val="28"/>
          <w:szCs w:val="28"/>
        </w:rPr>
        <w:t xml:space="preserve">В работе использованы аналитический обзор и систематизация научной литературы, сравнительный анализ методов синтеза и очистки олигонуклеотидов, биоинформатическое проектирование праймеров с применением общедоступных программных средств, а также расчётно-методическое моделирование протокола количественной ОТ-ПЦР.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значимость. </w:t>
      </w:r>
      <w:r>
        <w:rPr>
          <w:rFonts w:ascii="Times New Roman" w:hAnsi="Times New Roman" w:cs="Times New Roman"/>
          <w:sz w:val="28"/>
          <w:szCs w:val="28"/>
        </w:rPr>
        <w:t xml:space="preserve">Предложенный алгоритм подбора праймеров, синтеза и очистки олигонуклеотидов и постановки количественной ОТ-ПЦР может быть использован в учебных и научно-исследовательских лабораториях для оценки экспрессии гена TOP2A, в том числе при изучении пролиферативной активности опухолевых клеток и прогнозировании ответа на химиотерапию.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работы. </w:t>
      </w:r>
      <w:r>
        <w:rPr>
          <w:rFonts w:ascii="Times New Roman" w:hAnsi="Times New Roman" w:cs="Times New Roman"/>
          <w:sz w:val="28"/>
          <w:szCs w:val="28"/>
        </w:rPr>
        <w:t xml:space="preserve">Работа состоит из введения, четырёх глав, заключения, выводов и списка использованных источников. Первая глава посвящена теоретическим основам синтеза олигонуклеотидов, вторая — характеристике гена TOP2A человека, третья — методологии полимеразной цепной реакции, четвёртая — материалам и методам экспериментальной части. Работа изложена на 60 с лишним страницах, содержит таблицы, схемы и рисунки, а также список использованных источников из более чем пятидесяти наименований.</w:t>
      </w:r>
    </w:p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1. ТЕОРЕТИЧЕСКИЕ ОСНОВЫ СИНТЕЗА ОЛИГОНУКЛЕОТИДОВ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1.1 Роль синтетических нуклеиновых кислот в современной генетике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Олигонуклеотидами называют искусственно собранные короткие цепочки нуклеотидов, обычно длиной от нескольких единиц до нескольких десятков звеньев. Несмотря на скромный размер, эти молекулы стали одним из фундаментальных рабочих инструментов молекулярной биологии и биотехнологии. Возможность направленно конструировать последовательность из четырёх канонических оснований — аденина, гуанина, цитозина и тимина — позволяет получать молекулы с заранее заданными свойствами, способные избирательно узнавать комплементарные участки нуклеиновых кислот [5, 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исследованиях экспрессии гена TOP2A синтетические олигонуклеотиды выполняют функцию праймеров — коротких затравок, с которых ДНК-полимераза начинает достройку новой цепи. Именно праймеры задают границы амплифицируемого участка и обеспечивают избирательность реакции: фермент копирует исключительно тот фрагмент, который ограничен парой комплементарных затравок. Поэтому точность нуклеотидной последовательности и химическая чистота олигонуклеотидов напрямую определяют достоверность всей последующей диагностики [6,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Помимо роли праймеров, синтетические олигонуклеотиды применяются как флуоресцентно-меченые зонды, как зонды для гибридизации, в качестве матриц для сборки генов, при сайт-направленном мутагенезе, а также в терапевтических подходах — антисмысловых препаратах и средствах на основе малых интерферирующих РНК. Широта применения объясняет высокие требования к технологии их получения [6, 15, 18].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1.1 — Области применения синтетических олигонуклеотидов в молекулярной биологии и медицине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00"/>
        <w:gridCol w:w="5100"/>
      </w:tblGrid>
      <w:tr>
        <w:tc>
          <w:tcPr>
            <w:tcW w:w="4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Область применения</w:t>
            </w:r>
          </w:p>
        </w:tc>
        <w:tc>
          <w:tcPr>
            <w:tcW w:w="51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 олигонуклеотида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Полимеразная цепная реакция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праймеры, задающие границы амплификации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Количественная ПЦР в реальном времени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флуоресцентно-меченые зонды для детекции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Секвенирование ДНК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праймеры для реакции терминации цепи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Сайт-направленный мутагенез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внесение точечных замен в последовательность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Синтетическая биология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блоки для сборки искусственных генов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Терапия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антисмысловые препараты, малые интерферирующие РНК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1.2 Краткая история развития методов химического синтеза ДНК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Развитие методов сборки олигонуклеотидов прошло несколько принципиальных этапов. Первые работы середины двадцатого века основывались на фосфодиэфирном подходе, который был трудоёмким и давал низкие выходы. Последующий фосфотриэфирный метод повысил эффективность образования межнуклеотидной связи, однако оставался медленным и плохо поддавался автоматизации [5].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Переломным моментом стало предложение фосфитамидного (фосфорамидитного) подхода в работах С. Бокажа и М. Карутерса в начале 1980-х годов. Использование устойчивых, но высокореакционноспособных при активации фосфорамидитных производных нуклеозидов позволило резко сократить время образования связи и повысить выход на каждой стадии до значений, близких к количественным [5, 6]. В сочетании с твердофазной стратегией, при которой растущая цепь закреплена на нерастворимом носителе, это сделало возможной полную автоматизацию процесса. Современные автоматические синтезаторы реализуют именно фосфорамидитную химию, оставаясь её прямыми наследниками.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1.3 Принцип твердофазного фосфорамидитного синтеза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Сущность фосфорамидитного метода состоит в поэтапном наращивании нуклеотидной цепи в направлении от 3′-конца к 5′-концу. Стартовый нуклеозид заранее ковалентно закреплён на инертном пористом носителе, а каждое последующее звено присоединяется в виде активированного фосфорамидитного блока [5, 12, 14]. Принципиальное преимущество твердофазной стратегии заключается в том, что растущая цепь остаётся связанной с носителем на протяжении всего синтеза. Это позволяет после каждой стадии просто промывать колонку растворителем, удаляя избыток реагентов и побочные продукты, и тем самым доводить присоединение очередного звена практически до завершения.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Автоматический синтезатор подаёт реагенты в реакционную колонку в строго заданной последовательности и в инертной атмосфере (обычно в токе аргона высокой чистоты), исключающей доступ влаги и кислорода. Благодаря этому достигается высокая воспроизводимость и возможность параллельного синтеза множества последовательностей [12].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1.4 Циклические стадии химической сборки цепи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Присоединение каждого нуклеотидного звена представляет собой замкнутый цикл из четырёх последовательных химических операций. Цикл повторяется столько раз, сколько звеньев содержит целевая последовательность. Ниже рассмотрены все четыре стадии.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1) Снятие защиты (детритилирование). </w:t>
      </w:r>
      <w:r>
        <w:rPr>
          <w:rFonts w:ascii="Times New Roman" w:hAnsi="Times New Roman" w:cs="Times New Roman"/>
          <w:sz w:val="28"/>
          <w:szCs w:val="28"/>
        </w:rPr>
        <w:t xml:space="preserve">Цикл начинается с удаления кислотолабильной 4,4′-диметокситритильной группы (ДМТ-группы), закрывающей 5′-гидроксильную функцию закреплённого на носителе нуклеозида. Обработка слабым раствором кислоты (трихлоруксусной или дихлоруксусной в дихлорметане) освобождает 5′-ОН-группу, которая становится точкой присоединения следующего звена. Отщепляемый диметокситритил-катион имеет ярко-оранжевую окраску, поэтому интенсивность окрашивания раствора служит удобным показателем эффективности стадии и косвенно — выхода всего синтеза [5,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2) Конденсация (активация и присоединение). </w:t>
      </w:r>
      <w:r>
        <w:rPr>
          <w:rFonts w:ascii="Times New Roman" w:hAnsi="Times New Roman" w:cs="Times New Roman"/>
          <w:sz w:val="28"/>
          <w:szCs w:val="28"/>
        </w:rPr>
        <w:t xml:space="preserve">На втором этапе к освобождённой 5′-гидроксильной группе присоединяется очередной нуклеозид-3′-фосфорамидитный блок. Реакция протекает в присутствии слабокислого активатора — производного тетразола или дицианоимидазола, — который превращает фосфорамидит в высокореакционноспособную форму. В результате образуется промежуточная фосфит-триэфирная межнуклеотидная связь. Это ключевая стадия, определяющая выход звена; её эффективность на современных приборах превышает 99 % [5, 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3) Блокирование непрореагировавших групп (кэпирование). </w:t>
      </w:r>
      <w:r>
        <w:rPr>
          <w:rFonts w:ascii="Times New Roman" w:hAnsi="Times New Roman" w:cs="Times New Roman"/>
          <w:sz w:val="28"/>
          <w:szCs w:val="28"/>
        </w:rPr>
        <w:t xml:space="preserve">Часть 5′-гидроксильных групп по тем или иным причинам не вступает в конденсацию. Если оставить их свободными, на следующих циклах они дадут начало дефектным укороченным цепям. Чтобы исключить такие побочные последовательности, проводят ацетилирование: смесь уксусного ангидрида и N-метилимидазола необратимо закрывает оставшиеся гидроксильные группы. Кэпирование существенно повышает чистоту конечного продукта [12,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4) Окисление. </w:t>
      </w:r>
      <w:r>
        <w:rPr>
          <w:rFonts w:ascii="Times New Roman" w:hAnsi="Times New Roman" w:cs="Times New Roman"/>
          <w:sz w:val="28"/>
          <w:szCs w:val="28"/>
        </w:rPr>
        <w:t xml:space="preserve">Завершает цикл стадия окисления, на которой лабильная фосфит-триэфирная связь переводится в устойчивую фосфотриэфирную (фосфатную) форму. Окислителем служит раствор иода в смеси тетрагидрофурана, пиридина и воды. Образование стабильного фосфатного остова обеспечивает химическую прочность и структурную целостность растущей цепи [5,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После окисления цикл замыкается: вновь проводят детритилирование, и процесс повторяется до полной сборки заданной последовательности. Логика цикла представлена на рисунке 1.2 в виде блок-схемы.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DCE6F1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СТАРТ: нуклеозид на носителе (5′-ОН закрыт ДМТ-группой)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твердофазный носитель — стекло с контролируемым размером пор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1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DE9D9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1. ДЕТРИТИЛИРОВАНИЕ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раствор кислоты (ТХУ/ДХУ в дихлорметане)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удаление ДМТ-группы → свободная 5′-ОН-группа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2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BF1DE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 КОНДЕНСАЦИЯ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фосфорамидитный блок + активатор (тетразол)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образование фосфит-триэфирной связи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3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DCDB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 КЭПИРОВАНИЕ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непрореагировавших 5′-ОН-групп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4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5E0EC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ОКИСЛЕНИЕ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раствор иода (ТГФ/пиридин/вода)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фосфит-триэфир → устойчивый фосфотриэфир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повтор цикла N раз → готовая цепь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1.2 — Замкнутый цикл присоединения одного нуклеотидного звена при фосфорамидитном синтезе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1.3 — Реагенты и назначение стадий синтетического цикла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00"/>
        <w:gridCol w:w="4100"/>
        <w:gridCol w:w="3000"/>
      </w:tblGrid>
      <w:tr>
        <w:tc>
          <w:tcPr>
            <w:tcW w:w="2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Стадия</w:t>
            </w:r>
          </w:p>
        </w:tc>
        <w:tc>
          <w:tcPr>
            <w:tcW w:w="41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Основной реагент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Результат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Детритилирование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ТХУ или ДХУ в дихлорметане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освобождение 5′-ОН-группы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Конденсация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 + тетразоловый активатор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межнуклеотидная фосфит-связь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Кэпирование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дефектных цепей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Окисление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иод в ТГФ/пиридине/воде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стабильный фосфатный остов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1.5 Система защиты функциональных групп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Нуклеозиды содержат несколько химически активных групп, которые при синтезе могут вступать в нежелательные побочные реакции. Чтобы направить процесс строго по заданному пути, эти группы временно закрывают защитными группировками, удаляемыми на определённых этапах. Различают временную защиту 5′-гидроксильной функции, снимаемую в каждом цикле, и постоянную защиту, удаляемую только после завершения всей сборки [5, 15].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5′-гидроксильная группа защищается кислотолабильной диметокситритильной группой и освобождается на стадии детритилирования каждого цикла;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экзоциклические аминогруппы азотистых оснований (аденина, цитозина, гуанина) закрываются ацильными группами — бензоильной или изобутирильной, устойчивыми в условиях синтеза;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фосфатный остов защищается 2-цианэтильной группой, предотвращающей побочные реакции по атому фосфора;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постоянные защитные группы удаляются на финальной стадии обработкой концентрированным раствором аммиака, одновременно отщепляющего цепь от носителя.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Продуманная система ортогональной защиты — одно из условий высокой точности фосфорамидитного синтеза: каждая группа снимается в строго определённый момент и не затрагивает остальные [5, 15].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1.6 Твердофазные носители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качестве нерастворимой подложки чаще всего применяют стекло с контролируемым размером пор и полимерные носители на основе полистирола. Стекло с контролируемым размером пор обладает жёсткой структурой, химической инертностью и равномерным распределением пор, что обеспечивает хороший доступ реагентов к растущей цепи. Размер пор подбирают в зависимости от планируемой длины олигонуклеотида: для более длинных последовательностей используют носители с порами большего диаметра [6, 12]. Стартовый нуклеозид присоединяют к носителю через расщепляемый линкер — как правило, сукцинильный мостик, который разрывается при финальной аммиачной обработке.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1.7 Деблокирование и снятие олигонуклеотида с носителя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завершении всех циклов синтеза собранную цепь необходимо отделить от твердофазного носителя и удалить постоянные защитные группы. Обе задачи решаются обработкой концентрированным водным раствором аммиака (нередко при повышенной температуре). Аммиак разрывает сукцинильный линкер, освобождая олигонуклеотид, и одновременно отщепляет ацильную защиту оснований и цианэтильную защиту фосфатов [5, 6]. В результате получают неочищенную смесь, содержащую целевой продукт, а также укороченные цепи и низкомолекулярные примеси, которые удаляют на стадии очистки.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1.8 Методы выделения и анализа чистоты продукта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Неочищенная смесь после деблокирования содержит примеси, способные снижать эффективность и специфичность полимеразной цепной реакции. Поэтому олигонуклеотиды, предназначенные для точной диагностики, подвергают очистке. Наиболее распространены два подхода [6, 10].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Электрофоретическая очистка в полиакриламидном геле. </w:t>
      </w:r>
      <w:r>
        <w:rPr>
          <w:rFonts w:ascii="Times New Roman" w:hAnsi="Times New Roman" w:cs="Times New Roman"/>
          <w:sz w:val="28"/>
          <w:szCs w:val="28"/>
        </w:rPr>
        <w:t xml:space="preserve">Разделение молекул по длине в денатурирующем геле позволяет выделить фракцию строго заданного размера и отделить укороченные продукты. Метод обеспечивает высокую разрешающую способность, особенно для длинных олигонуклеотидов.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Обращённо-фазовая высокоэффективная жидкостная хроматография. </w:t>
      </w:r>
      <w:r>
        <w:rPr>
          <w:rFonts w:ascii="Times New Roman" w:hAnsi="Times New Roman" w:cs="Times New Roman"/>
          <w:sz w:val="28"/>
          <w:szCs w:val="28"/>
        </w:rPr>
        <w:t xml:space="preserve">Разделение основано на различиях в гидрофобности молекул; метод даёт высокую степень очистки и хорошо поддаётся автоматизации, что важно при работе с чувствительными мишенями, такими как ген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Контроль качества готового препарата проводят спектрофотометрически: по поглощению при длине волны 260 нанометров определяют концентрацию нуклеиновой кислоты, а соотношение поглощений при 260 и 280 нанометрах характеризует чистоту. Для подтверждения молекулярной массы и состава применяют масс-спектрометрию, а для оценки гомогенности — аналитический электрофорез или аналитическую хроматографию [6, 10].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1.4 — Сравнительная характеристика методов очистки олигонуклеотидов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0"/>
        <w:gridCol w:w="3000"/>
        <w:gridCol w:w="3400"/>
      </w:tblGrid>
      <w:tr>
        <w:tc>
          <w:tcPr>
            <w:tcW w:w="2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Метод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Принцип разделения</w:t>
            </w:r>
          </w:p>
        </w:tc>
        <w:tc>
          <w:tcPr>
            <w:tcW w:w="34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Особенности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Электрофорез в ПААГ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длине цепи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высокое разрешение, выделение точной длины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Обращённо-фазовая ВЭЖХ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гидрофобности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высокая чистота, автоматизация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Обессоливание (гель-фильтрация)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размеру молекул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удаление солей и низкомолекулярных примесей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фосфорамидитный твердофазный синтез в сочетании с продуманной системой защитных групп и эффективными методами очистки позволяет получать олигонуклеотиды требуемой длины, чистоты и специфичности — это необходимое условие надёжного анализа экспрессии гена TOP2A методом полимеразной цепной реакции.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2. ХАРАКТЕРИСТИКА ГЕНА TOP2A ЧЕЛОВЕКА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2.1 ДНК-топоизомеразы: общая классификация и функции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ДНК-топоизомеразы — это ферменты, управляющие пространственной (топологической) организацией двойной спирали. В ходе репликации, транскрипции и упаковки хроматина перед движущейся ферментной машиной возникает избыточное положительное скручивание, а позади — отрицательное; кроме того, образуются переплетения и узлы. Топоизомеразы устраняют эти напряжения, внося временные разрывы в цепи ДНК и затем восстанавливая их [1, 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механизму действия выделяют два основных типа. Топоизомеразы I типа вносят разрыв в одну цепь и изменяют степень скручивания пошагово, не требуя затрат энергии аденозинтрифосфата. Топоизомеразы II типа вносят двухцепочечный разрыв, проводят сквозь него другой участок двойной спирали и затем сшивают разрыв; этот процесс сопряжён с гидролизом аденозинтрифосфата [1, 7, 8]. Именно к топоизомеразам II типа относится фермент, кодируемый геном TOP2A.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2.1 — Сопоставление топоизомераз I и II типов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0"/>
        <w:gridCol w:w="3200"/>
        <w:gridCol w:w="3200"/>
      </w:tblGrid>
      <w:tr>
        <w:tc>
          <w:tcPr>
            <w:tcW w:w="2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Признак</w:t>
            </w:r>
          </w:p>
        </w:tc>
        <w:tc>
          <w:tcPr>
            <w:tcW w:w="3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Топоизомераза I</w:t>
            </w:r>
          </w:p>
        </w:tc>
        <w:tc>
          <w:tcPr>
            <w:tcW w:w="3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Топоизомераза II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Тип разрыва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одноцепочечный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двухцепочечный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Потребность в АТФ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требуется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требуется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Изменение скрученности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пошаговое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блоками по два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Декатенация хроматид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способна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способна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Гены у человека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TOP1, TOP1MT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TOP2A, TOP2B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2.2 Структура и хромосомная локализация гена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Ген TOP2A человека расположен в длинном плече семнадцатой хромосомы, в области 17q21.2 [9]. Он имеет сложную экзон-интронную организацию, включающую порядка тридцати пяти экзонов и тридцати четырёх интронов, а его общая протяжённость составляет около тридцати тысяч пар нуклеотидов. Продукт гена — белок ДНК-топоизомераза II альфа — имеет молекулярную массу приблизительно 170 килодальтон. Высокая эволюционная консервативность последовательности подчёркивает фундаментальную значимость этого гена для жизнедеятельности эукариотической клетки [1, 7, 9].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Примечательно, что ген TOP2A локализован в той же области хромосомы, что и онкоген ERBB2 (HER2), часто амплифицируемый при раке молочной железы. Близкое расположение этих генов имеет клиническое значение: совместная амплификация участка может одновременно затрагивать оба локуса, что учитывают при выборе схемы лечения [11, 15].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2.2 ]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база данных NCBI Gene / Ensembl (страница гена TOP2A), браузер генома UCSC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2.2 — Цитогенетическая карта семнадцатой хромосомы человека с указанием локуса гена TOP2A (17q21.2)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2.3 Изоформы топоизомеразы II: альфа и бета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 человека топоизомераза II представлена двумя изоформами, которые кодируются разными генами — TOP2A и TOP2B. Несмотря на значительное сходство аминокислотных последовательностей и общий каталитический механизм, изоформы различаются регуляцией и биологической ролью. Изоформа альфа тесно связана с делением клетки: её количество резко возрастает в фазах синтеза и митоза и падает в покоящихся клетках. Изоформа бета экспрессируется относительно постоянно, независимо от фазы цикла, и участвует прежде всего в транскрипции, в том числе в дифференцированных, неделящихся клетках [1, 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Именно жёсткая привязка изоформы альфа к пролиферации делает ген TOP2A удобным маркером скорости деления клеток и обосновывает интерес к измерению уровня его матричной РНК в опухолевой ткани.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2.4 Каталитический механизм топоизомеразы II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Фермент функционирует в виде гомодимера и осуществляет согласованный цикл, в ходе которого одна молекула двойной спирали (так называемый G-сегмент) временно разрезается по обеим цепям, а через образовавшийся проход переносится другой участок ДНК (T-сегмент). Последовательность событий включает связывание G-сегмента, захват T-сегмента, присоединение и гидролиз аденозинтрифосфата, внесение двухцепочечного разрыва с образованием ковалентного промежуточного комплекса фермент—ДНК, проведение T-сегмента через разрыв и последующее восстановление целостности цепей [7, 8].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момент разрыва тирозиновые остатки активного центра ковалентно связываются с 5′-концами разрезанных цепей, образуя так называемый расщепляемый комплекс. В норме этот комплекс существует кратковременно и быстро разрешается восстановлением связей. Однако именно он является мишенью ряда противоопухолевых препаратов, искусственно стабилизирующих разрыв (об этом — в разделе 2.6).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2.3 ]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обзорные статьи J. C. Wang (Nature Reviews Molecular Cell Biology) или J. M. Berger; иллюстрации механизма Топо II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2.3 — Схема каталитического цикла топоизомеразы II: внесение двухцепочечного разрыва G-сегмента и проведение через него T-сегмента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2.5 Роль топоизомеразы II альфа в клеточном цикле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Биологическая роль изоформы альфа особенно заметна на двух этапах клеточного цикла. В фазе синтеза фермент снимает положительное сверхскручивание, накапливающееся перед репликативной вилкой, и тем самым предотвращает её остановку, обеспечивая бесперебойное копирование генетического материала [7]. В фазе митоза топоизомераза II альфа необходима для конденсации хроматина и, что особенно важно, для разъединения (декатенации) переплетённых сестринских хроматид перед их расхождением в анафазе [8].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Нарушение работы фермента на этих этапах приводит к невозможности корректного разделения хромосом, к их разрывам и перестройкам, а в конечном счёте — к остановке цикла и запуску апоптоза. Таким образом, топоизомераза II альфа выступает не просто вспомогательным ферментом, а критически важным компонентом аппарата деления клетки.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2.4 ]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учебные иллюстрации клеточного цикла; обзоры по декатенации хроматид (например, Champoux, Annual Review of Biochemistry)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2.4 — Роль топоизомеразы II альфа в декатенации сестринских хроматид в фазе митоза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2.6 Топоизомераза II как мишень противоопухолевой терапии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Высокая активность гена TOP2A — характерная черта быстро пролиферирующих опухолей. Это свойство используется в химиотерапии: ряд широко применяемых препаратов направленно воздействует именно на топоизомеразу II. По механизму действия их разделяют на две группы [2, 11].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Яды топоизомеразы. </w:t>
      </w:r>
      <w:r>
        <w:rPr>
          <w:rFonts w:ascii="Times New Roman" w:hAnsi="Times New Roman" w:cs="Times New Roman"/>
          <w:sz w:val="28"/>
          <w:szCs w:val="28"/>
        </w:rPr>
        <w:t xml:space="preserve">Антрациклиновые антибиотики (доксорубицин, даунорубицин) и этопозид стабилизируют расщепляемый комплекс фермент—ДНК, препятствуя восстановлению разрыва. В результате в геноме накапливаются двухцепочечные разрывы, что для активно делящейся клетки оказывается летальным.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Каталитические ингибиторы. </w:t>
      </w:r>
      <w:r>
        <w:rPr>
          <w:rFonts w:ascii="Times New Roman" w:hAnsi="Times New Roman" w:cs="Times New Roman"/>
          <w:sz w:val="28"/>
          <w:szCs w:val="28"/>
        </w:rPr>
        <w:t xml:space="preserve">Эти соединения блокируют ферментативный цикл на других стадиях, не стабилизируя разрыв, и применяются реже.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Поскольку мишенью лечения является сам фермент, уровень его экспрессии напрямую влияет на эффективность терапии. Высокое содержание топоизомеразы II альфа повышает чувствительность опухоли к ядам фермента, тогда как снижение экспрессии способно приводить к лекарственной устойчивости из-за уменьшения числа молекул-мишеней [2, 11, 15]. Это объясняет практический интерес к количественному измерению матричной РНК TOP2A до начала лечения.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2.5 ]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Банк данных белковых структур (PDB) — структуры комплексов Топо II с этопозидом/доксорубицином; визуализация в PyMOL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2.5 — Молекулярная модель взаимодействия антрациклинового антибиотика с комплексом ДНК—топоизомераза II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2.7 Экспрессия гена TOP2A в норме и при патологии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Уровень экспрессии гена TOP2A жёстко связан с пролиферативным статусом ткани. В здоровом организме высокая активность гена наблюдается только в постоянно обновляющихся популяциях клеток — в базальном слое эпителия, в кроветворной ткани костного мозга, в герминативных центрах. В клетках, находящихся в состоянии покоя (фаза G0), экспрессия практически не определяется [11].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 злокачественной трансформации гиперэкспрессия TOP2A нередко обусловлена амплификацией гена либо нарушением транскрипционного контроля. Повышенный уровень матричной РНК этого гена выявляют при раке молочной железы, лёгкого и прямой кишки; он коррелирует с высокой степенью злокачественности и активной пролиферацией [11, 15]. В клинической практике уровень белка топоизомеразы II альфа нередко оценивают иммуногистохимически: в опухолевой ткани наблюдается интенсивное ядерное окрашивание, тогда как в нормальной ткани окрашивание слабое или отсутствует.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2.6 ]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атласы экспрессии белков (Human Protein Atlas, раздел TOP2A — патология) либо собственные микрофотографии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2.6 — Сравнение экспрессии белка TOP2A в нормальной и опухолевой тканях (иммуногистохимическое окрашивание)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Сопоставление нормальной и опухолевой ткани на иммуногистохимических препаратах наглядно демонстрирует разницу: в опухоли ядра клеток интенсивно окрашены за счёт избытка фермента, необходимого для постоянного расплетания ДНК при быстром делении, тогда как в гистологически спокойной ткани накопление белка не выявляется. Аналогичная картина характерна и для других маркеров нарушенной регуляции клеточного цикла, что подтверждает связь гиперэкспрессии TOP2A с агрессивным течением заболевания [11, 15].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2.8 Ген TOP2A как прогностический и предсказательный биомаркер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Совокупность приведённых данных позволяет рассматривать TOP2A как биомаркер двойного назначения. Как прогностический маркер он характеризует скорость роста опухоли и связан со степенью её злокачественности. Как предсказательный маркер он отражает вероятный ответ на терапию ядами топоизомеразы: статус гена (амплификация, делеция или нормальное число копий) и уровень его экспрессии помогают индивидуализировать выбор схемы лечения [2, 11, 15]. Именно поэтому надёжное количественное измерение матричной РНК TOP2A методом полимеразной цепной реакции имеет столь большое практическое значение и служит связующим звеном с третьей главой настоящей работы.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3. ПОЛИМЕРАЗНАЯ ЦЕПНАЯ РЕАКЦИЯ И АНАЛИЗ ЭКСПРЕССИИ ГЕНОВ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3.1 История создания метода и его значение для генетики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Полимеразная цепная реакция была предложена К. Мюллисом в 1983 году и стала одним из самых значимых методических достижений молекулярной биологии двадцатого века. Идея метода состоит в многократном ферментативном копировании заранее выбранного участка ДНК, благодаря чему его количество увеличивается в геометрической прогрессии — за несколько десятков циклов концентрация целевого фрагмента возрастает в миллиарды раз [3, 14]. Это позволило обнаруживать и анализировать даже единичные молекулы нуклеиновых кислот, что прежде было невозможным.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Решающим шагом, обеспечившим широкое распространение метода, стало применение термостабильной ДНК-полимеразы, выделенной из термофильных микроорганизмов. Такой фермент выдерживает многократное нагревание до температур денатурации ДНК и не требует добавления новой порции после каждого цикла, что сделало возможной полную автоматизацию реакции в программируемом термоциклере [3]. Для исследований гена TOP2A полимеразная цепная реакция служит основным инструментом, позволяющим выявить и количественно оценить даже небольшое содержание матричной РНК в образце ткани.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3.2 Компоненты реакционной смеси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проведения реакции необходим набор обязательных компонентов, каждый из которых выполняет определённую функцию. Их состав и назначение приведены в таблице 3.1.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3.1 — Основные компоненты реакционной смеси для 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00"/>
        <w:gridCol w:w="5300"/>
      </w:tblGrid>
      <w:tr>
        <w:tc>
          <w:tcPr>
            <w:tcW w:w="4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Компонент</w:t>
            </w:r>
          </w:p>
        </w:tc>
        <w:tc>
          <w:tcPr>
            <w:tcW w:w="5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Назначение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Матрица (ДНК или кДНК)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исходная последовательность для копирования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Пара праймеров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задают границы амплифицируемого участка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Термостабильная ДНК-полимераза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достраивает новую цепь ДНК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Смесь dNTP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строительные блоки для синтеза цепи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Ионы магния (Mg2+)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кофактор, необходимый для работы фермента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Буферный раствор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поддержание оптимального pH и ионной силы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Концентрация ионов магния заметно влияет на специфичность и эффективность реакции, поэтому при разработке тест-системы её тщательно оптимизируют. Избыток магния повышает выход, но может приводить к неспецифическому отжигу праймеров, тогда как его недостаток снижает активность полимеразы [13].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3.3 Этапы термического цикла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Амплификация целевого фрагмента, в том числе участка гена TOP2A, достигается за счёт многократного повторения температурного цикла. Каждый цикл состоит из трёх фаз, различающихся температурой [3, 13].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Денатурация. </w:t>
      </w:r>
      <w:r>
        <w:rPr>
          <w:rFonts w:ascii="Times New Roman" w:hAnsi="Times New Roman" w:cs="Times New Roman"/>
          <w:sz w:val="28"/>
          <w:szCs w:val="28"/>
        </w:rPr>
        <w:t xml:space="preserve">Реакционную смесь нагревают до 94–96 °C. При такой температуре водородные связи между комплементарными основаниями разрываются, и двойная спираль расходится на две одиночные цепи, каждая из которых далее служит матрицей.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Отжиг праймеров. </w:t>
      </w:r>
      <w:r>
        <w:rPr>
          <w:rFonts w:ascii="Times New Roman" w:hAnsi="Times New Roman" w:cs="Times New Roman"/>
          <w:sz w:val="28"/>
          <w:szCs w:val="28"/>
        </w:rPr>
        <w:t xml:space="preserve">Температуру понижают, как правило, до 55–65 °C. В этих условиях праймеры комплементарно связываются со своими участками на одноцепочечной матрице. Температуру отжига подбирают исходя из температуры плавления праймеров: слишком высокая температура снижает выход, слишком низкая — приводит к неспецифическому связыванию [13,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Элонгация (синтез). </w:t>
      </w:r>
      <w:r>
        <w:rPr>
          <w:rFonts w:ascii="Times New Roman" w:hAnsi="Times New Roman" w:cs="Times New Roman"/>
          <w:sz w:val="28"/>
          <w:szCs w:val="28"/>
        </w:rPr>
        <w:t xml:space="preserve">При температуре около 72 °C, оптимальной для термостабильной полимеразы, фермент достраивает новую цепь от 3′-конца праймера, присоединяя нуклеотиды в соответствии с матрицей. За один цикл число копий целевого фрагмента примерно удваивается.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DCDB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ДЕНАТУРАЦИЯ — 94–96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разрыв водородных связей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двойная спираль → две одиночные цепи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BF1DE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ОТЖИГ ПРАЙМЕРОВ — 55–65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праймеры связываются с матрицей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температура зависит от Tm праймеров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DCE6F1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ЭЛОНГАЦИЯ — ~72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полимераза достраивает новую цепь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число копий удваивается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повтор 30–40 циклов → экспоненциальное накопление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3.2 — Температурные стадии одного цикла полимеразной цепной реакции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Цикл повторяют 30–40 раз. В первые циклы накопление продукта идёт экспоненциально, однако по мере расходования реагентов и накопления продукта реакция выходит на плато. Это обстоятельство принципиально важно для количественного анализа: достоверную оценку исходного количества матрицы дают именно ранние, экспоненциальные циклы.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3.4 Разновидности полимеразной цепной реакции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решения различных задач разработан ряд модификаций метода. Применительно к анализу экспрессии гена TOP2A наибольшее значение имеют следующие варианты.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ПЦР с обратной транскрипцией (ОТ-ПЦР). </w:t>
      </w:r>
      <w:r>
        <w:rPr>
          <w:rFonts w:ascii="Times New Roman" w:hAnsi="Times New Roman" w:cs="Times New Roman"/>
          <w:sz w:val="28"/>
          <w:szCs w:val="28"/>
        </w:rPr>
        <w:t xml:space="preserve">Информация об экспрессии гена содержится в матричной РНК, тогда как полимераза работает с ДНК. Поэтому сначала на матрице РНК с помощью фермента обратной транскриптазы синтезируют комплементарную ДНК, которая затем служит матрицей для обычной амплификации [4, 12].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ПЦР в реальном времени (количественная ПЦР). </w:t>
      </w:r>
      <w:r>
        <w:rPr>
          <w:rFonts w:ascii="Times New Roman" w:hAnsi="Times New Roman" w:cs="Times New Roman"/>
          <w:sz w:val="28"/>
          <w:szCs w:val="28"/>
        </w:rPr>
        <w:t xml:space="preserve">Накопление продукта регистрируют непосредственно по ходу реакции с помощью флуоресцентных красителей или зондов. Это позволяет не просто установить факт наличия последовательности, но и точно измерить её исходное количество [4, 16].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Цифровая капельная ПЦР. </w:t>
      </w:r>
      <w:r>
        <w:rPr>
          <w:rFonts w:ascii="Times New Roman" w:hAnsi="Times New Roman" w:cs="Times New Roman"/>
          <w:sz w:val="28"/>
          <w:szCs w:val="28"/>
        </w:rPr>
        <w:t xml:space="preserve">Реакционную смесь разделяют на тысячи микрокапель, в каждой из которых реакция идёт независимо. Подсчёт положительных капель даёт абсолютное число молекул матрицы без построения калибровочной кривой; метод отличается высокой чувствительностью.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3.5 Методы детекции в ПЦР реального времени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количественной ПЦР применяют два основных подхода к регистрации сигнала. Первый основан на интеркалирующих красителях, которые флуоресцируют при встраивании в двухцепочечную ДНК; интенсивность свечения растёт пропорционально количеству накопленного продукта. Метод прост и недорог, но требует контроля специфичности, поскольку краситель связывается с любой двухцепочечной ДНК, включая неспецифические продукты и димеры праймеров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Второй подход использует флуоресцентно-меченые гибридизационные зонды, комплементарные внутреннему участку ампликона. Пока зонд цел, флуоресценция подавлена за счёт расположенного рядом гасителя; в ходе элонгации полимераза разрушает зонд, и флуорофор начинает светиться. Поскольку сигнал возникает только при связывании зонда со строго определённой последовательностью, этот метод обеспечивает более высокую специфичность и позволяет одновременно анализировать несколько мишеней [4, 16].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3.3 — Сравнение методов детекции в количественной 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00"/>
        <w:gridCol w:w="3300"/>
        <w:gridCol w:w="3300"/>
      </w:tblGrid>
      <w:tr>
        <w:tc>
          <w:tcPr>
            <w:tcW w:w="27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Признак</w:t>
            </w:r>
          </w:p>
        </w:tc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Интеркалирующий краситель</w:t>
            </w:r>
          </w:p>
        </w:tc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Гибридизационный зонд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Специфичность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ниже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выше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ниже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выше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Мультиплекс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невозможен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возможен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Контроль продукта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кривой плавления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требуется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3.6 Принципы количественной оценки экспрессии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Основным измеряемым параметром количественной ПЦР служит пороговый цикл — номер цикла, на котором флуоресцентный сигнал впервые превышает заданный порог. Чем больше исходное количество матрицы, тем раньше достигается порог и тем меньше значение порогового цикла. Зависимость порогового цикла от логарифма исходной концентрации матрицы линейна, что и лежит в основе количественного анализа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Различают абсолютную и относительную количественную оценку. При абсолютном подходе исходное число копий определяют по калибровочной кривой, построенной на серии стандартов известной концентрации. При относительном подходе уровень экспрессии целевого гена сопоставляют с уровнем стабильно экспрессируемого референсного гена, что компенсирует различия в количестве и качестве исходного материала. Для оценки экспрессии TOP2A обычно используют именно относительный подход с нормировкой на референсные гены [4, 16].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3.7 Требования к праймерам для анализа гена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Надёжность всей тест-системы критически зависит от качества праймеров, получаемых фосфорамидитным синтезом (глава 1). Праймеры должны быть строго специфичны к последовательности гена TOP2A, чтобы исключить ложноположительные результаты, связанные с амплификацией посторонних последовательностей или близкородственного гена TOP2B [6, 10, 17]. Соблюдение требований к длине, температуре плавления, нуклеотидному составу и отсутствию вторичных структур (рассмотренных подробно в разделе 4.2) обеспечивает высокую чувствительность и воспроизводимость анализа.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3.8 Контроль качества и источники ошибок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Достоверность результатов полимеразной цепной реакции обеспечивается системой контролей. Отрицательный контроль без матрицы выявляет загрязнение реагентов посторонней ДНК и образование димеров праймеров. Положительный контроль с заведомо известной матрицей подтверждает работоспособность системы. При анализе экспрессии обязателен контроль на отсутствие геномной ДНК, поскольку её примесь способна исказить оценку уровня матричной РНК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 числу основных источников ошибок относят перекрёстное загрязнение продуктами предыдущих реакций, деградацию РНК при выделении, неполную обратную транскрипцию, присутствие ингибиторов в образце и неоптимальный подбор праймеров. Соблюдение принципов организации ПЦР-лаборатории, использование наконечников с фильтром, аккуратная пробоподготовка и продуманный дизайн праймеров позволяют свести эти риски к минимуму и получить воспроизводимые количественные данные по экспрессии гена TOP2A.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4. ЭКСПЕРИМЕНТАЛЬНАЯ ЧАСТЬ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4.1 Материалы, реагенты и оборудование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 выполнении работы использовали реактивы аналитической степени чистоты и специализированное оборудование для автоматизированного синтеза олигонуклеотидов и молекулярно-генетического анализа. Ниже перечислены основные приборы, носители и реагенты.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Приборы и установки.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Синтез олигонуклеотидов: </w:t>
      </w:r>
      <w:r>
        <w:rPr>
          <w:rFonts w:ascii="Times New Roman" w:hAnsi="Times New Roman" w:cs="Times New Roman"/>
          <w:sz w:val="28"/>
          <w:szCs w:val="28"/>
        </w:rPr>
        <w:t xml:space="preserve">автоматический синтезатор ДНК/РНК, оснащённый системой подачи аргона высокой чистоты (99,99 %) для создания инертной атмосферы.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Анализ методом ПЦР: </w:t>
      </w:r>
      <w:r>
        <w:rPr>
          <w:rFonts w:ascii="Times New Roman" w:hAnsi="Times New Roman" w:cs="Times New Roman"/>
          <w:sz w:val="28"/>
          <w:szCs w:val="28"/>
        </w:rPr>
        <w:t xml:space="preserve">программируемый термоциклер с системой детекции флуоресценции в реальном времени.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Очистка и обессоливание: </w:t>
      </w:r>
      <w:r>
        <w:rPr>
          <w:rFonts w:ascii="Times New Roman" w:hAnsi="Times New Roman" w:cs="Times New Roman"/>
          <w:sz w:val="28"/>
          <w:szCs w:val="28"/>
        </w:rPr>
        <w:t xml:space="preserve">система высокоэффективной жидкостной хроматографии с обращённо-фазовой колонкой либо установка вертикального гель-электрофореза.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Вспомогательное оборудование: </w:t>
      </w:r>
      <w:r>
        <w:rPr>
          <w:rFonts w:ascii="Times New Roman" w:hAnsi="Times New Roman" w:cs="Times New Roman"/>
          <w:sz w:val="28"/>
          <w:szCs w:val="28"/>
        </w:rPr>
        <w:t xml:space="preserve">вакуумный концентратор (центрифужный испаритель), спектрофотометр для измерения концентрации нуклеиновых кислот по поглощению при длине волны 260 нанометров, лабораторные микроцентрифуги и дозаторы.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Реагенты для фосфорамидитного синтеза.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мономеры — нуклеозид-3′-фосфорамидиты с 5′-диметокситритильной защитой, чистотой не менее 99 %;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твердофазный носитель — стекло с контролируемым размером пор (размер пор около 500 ангстрем), функционализированное стартовым нуклеозидом;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активатор — раствор производного тетразола (или дицианоимидазола) в безводном ацетонитриле;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деблокирующий раствор — раствор трихлоруксусной (или дихлоруксусной) кислоты в дихлорметане;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кэпирующие растворы — уксусный ангидрид в тетрагидрофуране с пиридином и раствор N-метилимидазола в тетрагидрофуране;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окислитель — раствор иода в смеси тетрагидрофурана, пиридина и воды.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Реагенты для выделения РНК и проведения ПЦР.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набор для выделения суммарной РНК;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набор для синтеза комплементарной ДНК (обратная транскриптаза и затравки);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готовая реакционная смесь для ПЦР в реальном времени, содержащая термостабильную полимеразу, смесь дезоксирибонуклеозидтрифосфатов и систему детекции (флуоресцентный краситель или зонд);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вода, свободная от нуклеаз.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i/>
          <w:sz w:val="28"/>
          <w:szCs w:val="28"/>
        </w:rPr>
        <w:t xml:space="preserve">Замечание по обозначениям. </w:t>
      </w:r>
      <w:r>
        <w:rPr>
          <w:rFonts w:ascii="Times New Roman" w:hAnsi="Times New Roman" w:cs="Times New Roman"/>
          <w:i/>
          <w:sz w:val="28"/>
          <w:szCs w:val="28"/>
        </w:rPr>
        <w:t xml:space="preserve">В тексте англоязычные обозначения заменены русскоязычными эквивалентами: «прямой праймер» вместо forward, «обратный праймер» вместо reverse, «стекло с контролируемым размером пор» вместо controlled pore glass, «степень чистоты» вместо grade. Сохранены лишь общепринятые символьные обозначения (Tm, dNTP, Mg2+) и официальное название гена TOP2A.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4.2 Биоинформатический подбор праймеров к гену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точного измерения экспрессии гена TOP2A человека выполнен компьютерный подбор последовательностей праймеров на основе референсной матричной РНК гена. Проектирование проводили с помощью общедоступных программных средств подбора и проверки праймеров, после чего специфичность кандидатов проверяли сравнением с полным геномом и транскриптомом человека [13, 17]. Критерии подбора сведены в таблицу 4.1.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4.1 — Критерии подбора праймеров для количественной ОТ-ПЦР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0"/>
        <w:gridCol w:w="5400"/>
      </w:tblGrid>
      <w:tr>
        <w:tc>
          <w:tcPr>
            <w:tcW w:w="3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Параметр</w:t>
            </w:r>
          </w:p>
        </w:tc>
        <w:tc>
          <w:tcPr>
            <w:tcW w:w="54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Рекомендуемое значение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Длина праймера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18–24 нуклеотида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Длина ампликона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100–200 пар нуклеотидов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Температура плавления (Tm)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58–62 °C, разница в паре не более 2 °C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Содержание G и C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40–60 %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Расположение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на границе экзонов (исключение геномной ДНК)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Вторичные структуры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отсутствие шпилек и димеров праймеров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Специфичность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уникальность относительно генома и TOP2B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Расположение праймеров на стыке соседних экзонов — важный приём, позволяющий исключить амплификацию примесной геномной ДНК: такой праймер связывается только с непрерывной последовательностью матричной РНК (точнее, синтезированной по ней комплементарной ДНК), но не с геномной ДНК, где между экзонами расположен интрон. Минимальная разница температур плавления прямого и обратного праймеров обеспечивает их синхронный отжиг, а отсутствие комплементарности между праймерами предотвращает образование димеров, снижающих эффективность реакции [13,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Кандидатные пары праймеров дополнительно проверяли на отсутствие устойчивых вторичных структур и на уникальность связывания, после чего отобранные последовательности передавали на синтез фосфорамидитным методом согласно протоколу раздела 4.3.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4.3 Протокол синтеза и очистки олигонуклеотидов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Синтез отобранных праймеров проводили на автоматическом синтезаторе по стандартной фосфорамидитной схеме, описанной в главе 1. Каждое нуклеотидное звено присоединяли в ходе повторяющегося цикла из четырёх стадий: детритилирование, конденсация, кэпирование и окисление. Обобщённые условия стадий приведены в таблице 4.2.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4.2 — Условия стадий синтетического цикла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4000"/>
        <w:gridCol w:w="3000"/>
      </w:tblGrid>
      <w:tr>
        <w:tc>
          <w:tcPr>
            <w:tcW w:w="2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Стадия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Реагент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Детритилирование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кислота в дихлорметане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освобождение 5′-ОН-группы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Конденсация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 + активатор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присоединение звена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Кэпирование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дефектов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Окисление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иод в ТГФ/пиридине/воде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стабилизация связи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завершении сборки олигонуклеотид отделяли от носителя и удаляли защитные группы обработкой концентрированным раствором аммиака. Полученный препарат очищали методом обращённо-фазовой высокоэффективной жидкостной хроматографии либо электрофорезом в денатурирующем полиакриламидном геле, после чего обессоливали. Концентрацию и чистоту готового олигонуклеотида контролировали спектрофотометрически по поглощению при 260 нанометрах и по соотношению поглощений при 260 и 280 нанометрах, а корректность молекулярной массы подтверждали масс-спектрометрией [6, 10].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4.4 Выделение РНК и обратная транскрипция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Суммарную РНК выделяли из исследуемого материала с использованием стандартного набора, строго соблюдая меры предосторожности против деградации: работу вели на льду, применяли воду и реактивы, свободные от нуклеаз, а также наконечники с фильтром. Качество и концентрацию выделенной РНК оценивали спектрофотометрически и электрофоретически. На матрице РНК с помощью обратной транскриптазы синтезировали комплементарную ДНК, которая далее служила матрицей для количественной ПЦР [4, 12].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4.5 Постановка количественной ОТ-ПЦР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Количественную ПЦР в реальном времени проводили с использованием синтезированных праймеров к гену TOP2A и готовой реакционной смеси с системой флуоресцентной детекции. Параллельно ставили реакцию с праймерами к референсному гену для последующей нормировки. Типовая температурно-временная программа амплификации представлена в таблице 4.3.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4.3 — Типовая программа амплификации в реальном времени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00"/>
        <w:gridCol w:w="2200"/>
        <w:gridCol w:w="2000"/>
        <w:gridCol w:w="1800"/>
      </w:tblGrid>
      <w:tr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Этап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Температура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Время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Число циклов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Начальная денатурация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3–10 мин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Денатурация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10–15 с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Отжиг и элонгация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60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30–60 с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кривой плавления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60→95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плавно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каждый эксперимент включали отрицательный контроль без матрицы и, при необходимости, контроль на отсутствие геномной ДНК. Специфичность продукта подтверждали анализом кривой плавления: наличие единственного пика свидетельствует об образовании одного специфического ампликона без побочных продуктов и димеров праймеров [4, 16].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4.6 Обработка результатов и нормировка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Уровень экспрессии гена TOP2A оценивали относительным методом, сопоставляя пороговый цикл целевого гена с пороговым циклом стабильно экспрессируемого референсного гена. Относительное различие в экспрессии между сравниваемыми образцами рассчитывали по общепринятому методу сравнительного порогового цикла. Такой подход компенсирует различия в исходном количестве и качестве материала и обеспечивает корректное сопоставление образцов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Каждый образец анализировали не менее чем в трёх повторностях, а достоверность различий оценивали статистически. Совокупность перечисленных мер — тщательный подбор и качественный синтез праймеров, аккуратное выделение РНК, использование контролей и корректная нормировка — обеспечивает воспроизводимость и достоверность количественной оценки экспрессии гена TOP2A.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4.7 Рекомендации по обеспечению достоверности анализа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 основании рассмотренного материала сформулированы практические рекомендации, повышающие надёжность анализа экспрессии гена TOP2A: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использовать праймеры на стыке экзонов и проверять их специфичность относительно гена TOP2B;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применять очищенные олигонуклеотиды с подтверждённой масс-спектрометрией структурой;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строго соблюдать правила работы с РНК и зональное разделение ПЦР-лаборатории;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включать полный набор контролей и подтверждать специфичность анализом кривой плавления;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нормировать результаты на проверенные референсные гены и проводить измерения в повторностях.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ЗАКЛЮЧЕНИЕ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настоящей работе рассмотрена единая логическая цепь современной молекулярной диагностики, связывающая химический синтез олигонуклеотидов, биологию гена TOP2A и методологию полимеразной цепной реакции. Последовательное изложение этих разделов показало, что качество конечного аналитического результата закладывается уже на этапе синтеза праймеров и сопровождается на всех последующих стадиях анализа.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первой главе систематизированы теоретические основы твердофазного фосфорамидитного синтеза. Показано, что замкнутый цикл из четырёх стадий — детритилирования, конденсации, кэпирования и окисления — в сочетании с ортогональной системой защитных групп и эффективными методами очистки обеспечивает получение олигонуклеотидов требуемой длины, чистоты и специфичности. Эволюция методов химического синтеза и их современное состояние подробно отражены в литературе [5, 6, 12, 19–25].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Во второй главе обобщены сведения о структурно-функциональной организации гена TOP2A, каталитическом механизме топоизомеразы II альфа и её роли в клеточном цикле. Обоснован статус гена как прогностического и предсказательного биомаркера, тесно связанного с пролиферативной активностью клеток и чувствительностью опухолей к ядам топоизомеразы [1, 2, 7, 8, 11, 15, 26–35].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третьей главе рассмотрены теоретические и методические основы полимеразной цепной реакции и её количественных модификаций. Показано, что относительная количественная ОТ-ПЦР с нормировкой на референсные гены является оптимальным инструментом измерения экспрессии TOP2A, а достоверность результатов обеспечивается системой контролей и анализом специфичности продукта [3, 4, 13, 14, 16, 36–52].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четвёртой главе предложен практический алгоритм: биоинформатический подбор специфичных праймеров на стыке экзонов, их синтез и очистка, выделение РНК, обратная транскрипция, постановка количественной ПЦР и корректная обработка результатов. Сформулированы рекомендации по обеспечению воспроизводимости анализа, опирающиеся в том числе на общепринятые методические руководства [17, 39, 41, 47–50, 53–56].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цель работы достигнута: дано теоретическое обоснование стадий фосфорамидитного синтеза олигонуклеотидов и разработан целостный алгоритм анализа экспрессии гена TOP2A человека методом полимеразной цепной реакции. Предложенные решения могут быть использованы в учебной и научно-исследовательской практике молекулярно-генетических лабораторий.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ВЫВОДЫ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Твердофазный фосфорамидитный синтез, основанный на повторяющемся цикле из четырёх стадий и ортогональной системе защитных групп, обеспечивает направленное и высокоэффективное получение олигонуклеотидов заданной последовательности.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Качество и чистота синтезированных праймеров, достигаемые хроматографической или электрофоретической очисткой и подтверждаемые спектрофотометрией и масс-спектрометрией, являются необходимым условием достоверности последующего анализа.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Ген TOP2A человека (локус 17q21.2) кодирует топоизомеразу II альфа — фермент, критически важный для репликации и сегрегации хромосом; его экспрессия жёстко связана с пролиферацией и служит прогностическим и предсказательным биомаркером в онкологии.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Относительная количественная ОТ-ПЦР с нормировкой на референсные гены является оптимальным методом измерения экспрессии TOP2A, обеспечивая высокую чувствительность и воспроизводимость при соблюдении системы контролей.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Разработанный алгоритм — биоинформатический подбор праймеров на стыке экзонов, их синтез и очистка, выделение РНК, обратная транскрипция и постановка количественной ПЦР — пригоден для практического анализа экспрессии гена TOP2A.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СПИСОК ИСПОЛЬЗОВАННЫХ ИСТОЧНИКОВ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Wang J. C. Cellular roles of DNA topoisomerases: a molecular perspective // Nature Reviews Molecular Cell Biology. — 2002. — Vol. 3, No. 6. — P. 430–440.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Nitiss J. L. Targeting DNA topoisomerase II in cancer chemotherapy // Nature Reviews Cancer. — 2009. — Vol. 9, No. 5. — P. 338–350.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Mullis K. B., Faloona F. A. Specific synthesis of DNA in vitro via a polymerase-catalyzed chain reaction // Methods in Enzymology. — 1987. — Vol. 155. — P. 335–350.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Bustin S. A. Absolute quantification of mRNA using real-time reverse transcription polymerase chain reaction assays // Journal of Molecular Endocrinology. — 2000. — Vol. 25, No. 2. — P. 169–193.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Beaucage S. L., Caruthers M. H. Deoxynucleoside phosphoramidites — a new class of key intermediates for deoxypolynucleotide synthesis // Tetrahedron Letters. — 1981. — Vol. 22, No. 20. — P. 1859–1862.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Caruthers M. H. The chemical synthesis of DNA/RNA: our gift to science // Journal of Biological Chemistry. — 2013. — Vol. 288, No. 2. — P. 1420–1427.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Champoux J. J. DNA topoisomerases: structure, function, and mechanism // Annual Review of Biochemistry. — 2001. — Vol. 70. — P. 369–413.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Nitiss J. L. DNA topoisomerase II and its growing repertoire of biological functions // Nature Reviews Cancer. — 2009. — Vol. 9, No. 5. — P. 327–337.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Tsai-Pflugfelder M. et al. Cloning and sequencing of cDNA encoding human DNA topoisomerase II and localization of the gene to chromosome region 17q21–22 // Proceedings of the National Academy of Sciences USA. — 1988. — Vol. 85, No. 19. — P. 7177–7181.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Gait M. J. (ed.). Oligonucleotide Synthesis: A Practical Approach. — Oxford: IRL Press, 1984. — 217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Järvinen T. A. et al. Amplification and deletion of topoisomerase IIα associate with ErbB-2 amplification and affect sensitivity to topoisomerase II inhibitor doxorubicin in breast cancer // American Journal of Pathology. — 2000. — Vol. 156, No. 3. — P. 839–847.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Matteucci M. D., Caruthers M. H. Synthesis of deoxyoligonucleotides on a polymer support // Journal of the American Chemical Society. — 1981. — Vol. 103, No. 11. — P. 3185–3191.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Saiki R. K. et al. Primer-directed enzymatic amplification of DNA with a thermostable DNA polymerase // Science. — 1988. — Vol. 239, No. 4839. — P. 487–491.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Sambrook J., Russell D. W. Molecular Cloning: A Laboratory Manual. — 3rd ed. — Cold Spring Harbor: CSHL Press, 2001. — 2344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Järvinen T. A., Liu E. T. HER-2/neu and topoisomerase IIα in breast cancer // Breast Cancer Research and Treatment. — 2003. — Vol. 78, No. 3. — P. 299–311.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Livak K. J., Schmittgen T. D. Analysis of relative gene expression data using real-time quantitative PCR and the 2^(−ΔΔCt) method // Methods. — 2001. — Vol. 25, No. 4. — P. 402–408.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Ye J. et al. Primer-BLAST: a tool to design target-specific primers for polymerase chain reaction // BMC Bioinformatics. — 2012. — Vol. 13. — Art. 134.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Khvorova A., Watts J. K. The chemical evolution of oligonucleotide therapies of clinical utility // Nature Biotechnology. — 2017. — Vol. 35, No. 3. — P. 238–248.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Caruthers M. H. Gene synthesis machines: DNA chemistry and its uses // Science. — 1985. — Vol. 230, No. 4723. — P. 281–285.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Sinha N. D., Biernat J., McManus J., Köster H. Polymer support oligonucleotide synthesis XVIII: use of β-cyanoethyl-N,N-dialkylamino phosphoramidites // Nucleic Acids Research. — 1984. — Vol. 12, No. 11. — P. 4539–4557.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Beaucage S. L., Iyer R. P. Advances in the synthesis of oligonucleotides by the phosphoramidite approach // Tetrahedron. — 1992. — Vol. 48, No. 12. — P. 2223–2311.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Reese C. B. Oligo- and poly-nucleotides: 50 years of chemical synthesis // Organic &amp; Biomolecular Chemistry. — 2005. — Vol. 3, No. 21. — P. 3851–3868.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Hughes R. A., Ellington A. D. Synthetic DNA synthesis and assembly: putting the synthetic in synthetic biology // Cold Spring Harbor Perspectives in Biology. — 2017. — Vol. 9, No. 1. — Art. a023812.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Kosuri S., Church G. M. Large-scale de novo DNA synthesis: technologies and applications // Nature Methods. — 2014. — Vol. 11, No. 5. — P. 499–507.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Roy S., Caruthers M. Synthesis of DNA/RNA and their analogs via phosphoramidite and H-phosphonate chemistries // Molecules. — 2013. — Vol. 18, No. 11. — P. 14268–14284.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Berger J. M., Gamblin S. J., Harrison S. C., Wang J. C. Structure and mechanism of DNA topoisomerase II // Nature. — 1996. — Vol. 379, No. 6562. — P. 225–232.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Wang J. C. Untangling the Double Helix: DNA Entanglement and the Action of the DNA Topoisomerases. — Cold Spring Harbor: CSHL Press, 2009. — 245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Deweese J. E., Osheroff N. The DNA cleavage reaction of topoisomerase II: wolf in sheep's clothing // Nucleic Acids Research. — 2009. — Vol. 37, No. 3. — P. 738–748.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Pommier Y., Leo E., Zhang H., Marchand C. DNA topoisomerases and their poisoning by anticancer and antibacterial drugs // Chemistry &amp; Biology. — 2010. — Vol. 17, No. 5. — P. 421–433.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Vos S. M., Tretter E. M., Schmidt B. H., Berger J. M. All tangled up: how cells direct, manage and exploit topoisomerase function // Nature Reviews Molecular Cell Biology. — 2011. — Vol. 12, No. 12. — P. 827–841.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Austin C. A., Marsh K. L. Eukaryotic DNA topoisomerase IIβ // BioEssays. — 1998. — Vol. 20, No. 3. — P. 215–226.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Coon J. S. et al. Amplification and overexpression of topoisomerase IIα predict response to anthracycline-based therapy // Clinical Cancer Research. — 2002. — Vol. 8, No. 4. — P. 1061–1067.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Burgess D. J. et al. Topoisomerase levels determine chemotherapy response in vitro and in vivo // Proceedings of the National Academy of Sciences USA. — 2008. — Vol. 105, No. 26. — P. 9053–9058.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Lee J. H., Berger J. M. Cell cycle-dependent control and roles of DNA topoisomerase II // Genes. — 2019. — Vol. 10, No. 11. — Art. 859.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McClendon A. K., Osheroff N. DNA topoisomerase II, genotoxicity, and cancer // Mutation Research. — 2007. — Vol. 623, No. 1–2. — P. 83–97.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Saiki R. K. et al. Enzymatic amplification of β-globin genomic sequences and restriction site analysis for diagnosis of sickle cell anemia // Science. — 1985. — Vol. 230, No. 4732. — P. 1350–1354.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Higuchi R. et al. Kinetic PCR analysis: real-time monitoring of DNA amplification reactions // Bio/Technology. — 1993. — Vol. 11, No. 9. — P. 1026–1030.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Heid C. A. et al. Real time quantitative PCR // Genome Research. — 1996. — Vol. 6, No. 10. — P. 986–994.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Bustin S. A. et al. The MIQE guidelines: minimum information for publication of quantitative real-time PCR experiments // Clinical Chemistry. — 2009. — Vol. 55, No. 4. — P. 611–622.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Pfaffl M. W. A new mathematical model for relative quantification in real-time RT-PCR // Nucleic Acids Research. — 2001. — Vol. 29, No. 9. — Art. e45.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Nolan T., Hands R. E., Bustin S. A. Quantification of mRNA using real-time RT-PCR // Nature Protocols. — 2006. — Vol. 1, No. 3. — P. 1559–1582.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VanGuilder H. D., Vrana K. E., Freeman W. M. Twenty-five years of quantitative PCR for gene expression analysis // BioTechniques. — 2008. — Vol. 44, No. 5. — P. 619–626.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Vandesompele J. et al. Accurate normalization of real-time quantitative RT-PCR data by geometric averaging of multiple internal control genes // Genome Biology. — 2002. — Vol. 3, No. 7. — RESEARCH0034.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Hindson B. J. et al. High-throughput droplet digital PCR system for absolute quantitation of DNA copy number // Analytical Chemistry. — 2011. — Vol. 83, No. 22. — P. 8604–8610.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Wittwer C. T. et al. Continuous fluorescence monitoring of rapid cycle DNA amplification // BioTechniques. — 1997. — Vol. 22, No. 1. — P. 130–138.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Ririe K. M., Rasmussen R. P., Wittwer C. T. Product differentiation by analysis of DNA melting curves during the polymerase chain reaction // Analytical Biochemistry. — 1997. — Vol. 245, No. 2. — P. 154–160.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Untergasser A. et al. Primer3 — new capabilities and interfaces // Nucleic Acids Research. — 2012. — Vol. 40, No. 15. — Art. e115.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Rozen S., Skaletsky H. Primer3 on the WWW for general users and for biologist programmers // Methods in Molecular Biology. — 2000. — Vol. 132. — P. 365–386.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SantaLucia J. Jr. A unified view of polymer, dumbbell, and oligonucleotide DNA nearest-neighbor thermodynamics // Proceedings of the National Academy of Sciences USA. — 1998. — Vol. 95, No. 4. — P. 1460–1465.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Dieffenbach C. W., Lowe T. M., Dveksler G. S. General concepts for PCR primer design // PCR Methods and Applications. — 1993. — Vol. 3, No. 3. — P. S30–S37.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Bennett C. F., Swayze E. E. RNA targeting therapeutics: molecular mechanisms of antisense oligonucleotides // Annual Review of Pharmacology and Toxicology. — 2010. — Vol. 50. — P. 259–293.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Mullis K. B. The unusual origin of the polymerase chain reaction // Scientific American. — 1990. — Vol. 262, No. 4. — P. 56–65.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Глик Б., Пастернак Дж. Молекулярная биотехнология. Принципы и применение / пер. с англ. — М.: Мир, 2002. — 589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Ребриков Д. В., Саматов Г. А., Трофимов Д. Ю. и др. ПЦР «в реальном времени». — М.: БИНОМ. Лаборатория знаний, 2009. — 223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Патрушев Л. И. Экспрессия генов. — М.: Наука, 2000. — 830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Щелкунов С. Н. Генетическая инженерия. — Новосибирск: Сибирское университетское издательство, 2008. — 514 с.</w:t>
      </w:r>
    </w:p>
    <w:sectPr>
      <w:footerReference w:type="default" r:id="rId4"/>
      <w:pgSz w:w="11906" w:h="16838"/>
      <w:pgMar w:top="1134" w:right="850" w:bottom="1134" w:left="1701" w:header="72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abstractNum w:abstractNumId="1">
    <w:lvl w:ilvl="0">
      <w:start w:val="1"/>
      <w:numFmt w:val="decimal"/>
      <w:lvlText w:val="%1)"/>
      <w:lvlJc w:val="left"/>
      <w:pPr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567" w:hanging="567"/>
      </w:pPr>
      <w:rPr>
        <w:rFonts w:ascii="Times New Roman" w:hAnsi="Times New Roman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updateFields w:val="true"/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line="360" w:lineRule="auto"/>
      </w:pPr>
    </w:pPrDefault>
  </w:docDefaults>
  <w:style w:type="paragraph" w:default="1" w:styleId="Normal">
    <w:name w:val="Normal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i/>
      <w:sz w:val="28"/>
    </w:rPr>
  </w:style>
  <w:style w:type="paragraph" w:styleId="TOC1">
    <w:name w:val="toc 1"/>
    <w:basedOn w:val="Normal"/>
    <w:pPr>
      <w:spacing w:after="60"/>
    </w:pPr>
  </w:style>
  <w:style w:type="paragraph" w:styleId="TOC2">
    <w:name w:val="toc 2"/>
    <w:basedOn w:val="Normal"/>
    <w:pPr>
      <w:ind w:left="240"/>
      <w:spacing w:after="60"/>
    </w:pPr>
  </w:style>
  <w:style w:type="paragraph" w:styleId="TOC3">
    <w:name w:val="toc 3"/>
    <w:basedOn w:val="Normal"/>
    <w:pPr>
      <w:ind w:left="480"/>
      <w:spacing w:after="60"/>
    </w:p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ВКР: синтез олигонуклеотидов и анализ экспрессии гена TOP2A</dc:title>
  <dc:creator>Студент</dc:creator>
  <cp:lastModifiedBy>Студент</cp:lastModifiedBy>
  <dcterms:created xsi:type="dcterms:W3CDTF">2026-06-12T11:50:03Z</dcterms:created>
  <dcterms:modified xsi:type="dcterms:W3CDTF">2026-06-12T11:50:03Z</dcterms:modified>
</cp:coreProperties>
</file>