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  <w:spacing w:after="0"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МИНИСТЕРСТВО НАУКИ И ВЫСШЕГО ОБРАЗОВАНИЯ РОССИЙСКОЙ ФЕДЕРАЦИИ</w:t>
      </w:r>
    </w:p>
    <w:p>
      <w:pPr>
        <w:jc w:val="center"/>
        <w:spacing w:after="0" w:line="360" w:lineRule="auto"/>
      </w:pPr>
      <w:r>
        <w:rPr>
          <w:rFonts w:ascii="Times New Roman" w:hAnsi="Times New Roman" w:cs="Times New Roman"/>
          <w:sz w:val="22"/>
          <w:szCs w:val="22"/>
        </w:rPr>
        <w:t xml:space="preserve">Федеральное государственное бюджетное образовательное учреждение высшего образования</w:t>
      </w:r>
    </w:p>
    <w:p>
      <w:pPr>
        <w:jc w:val="center"/>
        <w:spacing w:after="0"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«Российский химико-технологический университет имени Д. И. Менделеева»</w:t>
      </w:r>
    </w:p>
    <w:p>
      <w:pPr>
        <w:jc w:val="center"/>
        <w:spacing w:after="0" w:line="360" w:lineRule="auto"/>
      </w:pPr>
      <w:r>
        <w:rPr>
          <w:rFonts w:ascii="Times New Roman" w:hAnsi="Times New Roman" w:cs="Times New Roman"/>
          <w:sz w:val="22"/>
          <w:szCs w:val="22"/>
        </w:rPr>
        <w:t xml:space="preserve">(РХТУ им. Д. И. Менделеева)</w:t>
      </w:r>
    </w:p>
    <w:p>
      <w:pPr>
        <w:jc w:val="center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jc w:val="center"/>
        <w:spacing w:after="0" w:line="360" w:lineRule="auto"/>
      </w:pPr>
      <w:r>
        <w:rPr>
          <w:rFonts w:ascii="Times New Roman" w:hAnsi="Times New Roman" w:cs="Times New Roman"/>
          <w:sz w:val="22"/>
          <w:szCs w:val="22"/>
        </w:rPr>
        <w:t xml:space="preserve">Направление подготовки 18.03.01 — Химическая технология</w:t>
      </w:r>
    </w:p>
    <w:p>
      <w:pPr>
        <w:jc w:val="center"/>
        <w:spacing w:after="0" w:line="360" w:lineRule="auto"/>
      </w:pPr>
      <w:r>
        <w:rPr>
          <w:rFonts w:ascii="Times New Roman" w:hAnsi="Times New Roman" w:cs="Times New Roman"/>
          <w:sz w:val="22"/>
          <w:szCs w:val="22"/>
        </w:rPr>
        <w:t xml:space="preserve">Направленность (профиль) «Химическая технология лекарственных препаратов»</w:t>
      </w:r>
    </w:p>
    <w:p>
      <w:pPr>
        <w:jc w:val="center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jc w:val="center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jc w:val="center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jc w:val="center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jc w:val="center"/>
        <w:spacing w:after="0" w:line="360" w:lineRule="auto"/>
      </w:pPr>
      <w:r>
        <w:rPr>
          <w:rFonts w:ascii="Times New Roman" w:hAnsi="Times New Roman" w:cs="Times New Roman"/>
          <w:b/>
          <w:sz w:val="30"/>
          <w:szCs w:val="30"/>
        </w:rPr>
        <w:t xml:space="preserve">ВЫПУСКНАЯ КВАЛИФИКАЦИОННАЯ РАБОТА</w:t>
      </w:r>
    </w:p>
    <w:p>
      <w:pPr>
        <w:jc w:val="center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jc w:val="center"/>
        <w:spacing w:after="0" w:line="360" w:lineRule="auto"/>
      </w:pPr>
      <w:r>
        <w:rPr>
          <w:rFonts w:ascii="Times New Roman" w:hAnsi="Times New Roman" w:cs="Times New Roman"/>
          <w:sz w:val="26"/>
          <w:szCs w:val="26"/>
        </w:rPr>
        <w:t xml:space="preserve">на тему:</w:t>
      </w:r>
    </w:p>
    <w:p>
      <w:pPr>
        <w:jc w:val="center"/>
        <w:spacing w:after="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«Синтез олигонуклеотидов для изучения экспрессии человеческого гена TOP2 методом полимеразной цепной реакции»</w:t>
      </w:r>
    </w:p>
    <w:p>
      <w:pPr>
        <w:jc w:val="center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jc w:val="center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jc w:val="center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jc w:val="center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jc w:val="center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after="0"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Выполнил: обучающийся выпускного курса</w:t>
      </w:r>
    </w:p>
    <w:p>
      <w:pPr>
        <w:spacing w:after="0"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Бахромов Жавохир Орифжонович  ____________</w:t>
      </w:r>
    </w:p>
    <w:p>
      <w:pPr>
        <w:jc w:val="both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after="0"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Научный руководитель:</w:t>
      </w:r>
    </w:p>
    <w:p>
      <w:pPr>
        <w:spacing w:after="0"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канд. хим. наук  Соловьева Инна Николаевна  ____________</w:t>
      </w:r>
    </w:p>
    <w:p>
      <w:pPr>
        <w:jc w:val="both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after="0"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Работа допущена к защите</w:t>
      </w:r>
    </w:p>
    <w:p>
      <w:pPr>
        <w:spacing w:after="0"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Заведующий кафедрой ____________ / Ф.И.О. /</w:t>
      </w:r>
    </w:p>
    <w:p>
      <w:pPr>
        <w:jc w:val="center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jc w:val="center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jc w:val="center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jc w:val="center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jc w:val="center"/>
        <w:spacing w:after="0"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Москва — 2026</w:t>
      </w:r>
    </w:p>
    <w:p>
      <w:r>
        <w:br w:type="page"/>
      </w:r>
    </w:p>
    <w:p>
      <w:pPr>
        <w:jc w:val="center"/>
        <w:spacing w:after="240" w:line="360" w:lineRule="auto"/>
      </w:pPr>
      <w:r>
        <w:rPr>
          <w:rFonts w:ascii="Times New Roman" w:hAnsi="Times New Roman"/>
          <w:b/>
          <w:sz w:val="32"/>
        </w:rPr>
        <w:t>СОДЕРЖАНИЕ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1"/>
            <w:tabs>
              <w:tab w:val="right" w:leader="dot" w:pos="9350"/>
            </w:tabs>
            <w:rPr>
              <w:rFonts w:ascii="Times New Roman" w:hAnsi="Times New Roman"/>
              <w:noProof/>
              <w:sz w:val="28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rPr>
              <w:noProof/>
            </w:rPr>
            <w:t>Обновите поле: правый клик → «Обновить поле».</w:t>
          </w:r>
          <w:r>
            <w:fldChar w:fldCharType="end"/>
          </w:r>
        </w:p>
      </w:sdtContent>
    </w:sdt>
    <w:p>
      <w:r>
        <w:br w:type="page"/>
      </w:r>
    </w:p>
    <w:p>
      <w:pPr>
        <w:pStyle w:val="Heading1"/>
        <w:pageBreakBefore/>
        <w:jc w:val="center"/>
        <w:spacing w:before="240" w:after="240" w:line="360" w:lineRule="auto"/>
      </w:pPr>
      <w:r>
        <w:rPr>
          <w:rFonts w:ascii="Times New Roman" w:hAnsi="Times New Roman" w:cs="Times New Roman"/>
          <w:b/>
          <w:sz w:val="32"/>
          <w:szCs w:val="32"/>
        </w:rPr>
        <w:t xml:space="preserve">СПИСОК СОКРАЩЕНИЙ И УСЛОВНЫХ ОБОЗНАЧЕНИЙ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00"/>
        <w:gridCol w:w="6700"/>
      </w:tblGrid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center"/>
              <w:spacing w:after="40" w:line="276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Сокращение</w:t>
            </w:r>
          </w:p>
        </w:tc>
        <w:tc>
          <w:tcPr>
            <w:tcW w:w="6700" w:type="dxa"/>
            <w:shd w:val="clear" w:color="auto" w:fill="D9E2F3"/>
            <w:vAlign w:val="center"/>
          </w:tcPr>
          <w:p>
            <w:pPr>
              <w:jc w:val="center"/>
              <w:spacing w:after="40" w:line="276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Расшифровка</w:t>
            </w:r>
          </w:p>
        </w:tc>
      </w:tr>
      <w:tr>
        <w:tc>
          <w:tcPr>
            <w:tcW w:w="26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ДНК</w:t>
            </w:r>
          </w:p>
        </w:tc>
        <w:tc>
          <w:tcPr>
            <w:tcW w:w="67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дезоксирибонуклеиновая кислота</w:t>
            </w:r>
          </w:p>
        </w:tc>
      </w:tr>
      <w:tr>
        <w:tc>
          <w:tcPr>
            <w:tcW w:w="26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РНК</w:t>
            </w:r>
          </w:p>
        </w:tc>
        <w:tc>
          <w:tcPr>
            <w:tcW w:w="67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рибонуклеиновая кислота</w:t>
            </w:r>
          </w:p>
        </w:tc>
      </w:tr>
      <w:tr>
        <w:tc>
          <w:tcPr>
            <w:tcW w:w="26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мРНК</w:t>
            </w:r>
          </w:p>
        </w:tc>
        <w:tc>
          <w:tcPr>
            <w:tcW w:w="67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матричная (информационная) рибонуклеиновая кислота</w:t>
            </w:r>
          </w:p>
        </w:tc>
      </w:tr>
      <w:tr>
        <w:tc>
          <w:tcPr>
            <w:tcW w:w="26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кДНК</w:t>
            </w:r>
          </w:p>
        </w:tc>
        <w:tc>
          <w:tcPr>
            <w:tcW w:w="67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комплементарная ДНК, синтезируемая на матрице мРНК</w:t>
            </w:r>
          </w:p>
        </w:tc>
      </w:tr>
      <w:tr>
        <w:tc>
          <w:tcPr>
            <w:tcW w:w="26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ПЦР</w:t>
            </w:r>
          </w:p>
        </w:tc>
        <w:tc>
          <w:tcPr>
            <w:tcW w:w="67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полимеразная цепная реакция</w:t>
            </w:r>
          </w:p>
        </w:tc>
      </w:tr>
      <w:tr>
        <w:tc>
          <w:tcPr>
            <w:tcW w:w="26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ОТ-ПЦР</w:t>
            </w:r>
          </w:p>
        </w:tc>
        <w:tc>
          <w:tcPr>
            <w:tcW w:w="67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ПЦР с предварительной обратной транскрипцией</w:t>
            </w:r>
          </w:p>
        </w:tc>
      </w:tr>
      <w:tr>
        <w:tc>
          <w:tcPr>
            <w:tcW w:w="26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ПЦР-РВ</w:t>
            </w:r>
          </w:p>
        </w:tc>
        <w:tc>
          <w:tcPr>
            <w:tcW w:w="67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ПЦР в реальном времени (количественная ПЦР)</w:t>
            </w:r>
          </w:p>
        </w:tc>
      </w:tr>
      <w:tr>
        <w:tc>
          <w:tcPr>
            <w:tcW w:w="26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цПЦР</w:t>
            </w:r>
          </w:p>
        </w:tc>
        <w:tc>
          <w:tcPr>
            <w:tcW w:w="67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цифровая капельная ПЦР</w:t>
            </w:r>
          </w:p>
        </w:tc>
      </w:tr>
      <w:tr>
        <w:tc>
          <w:tcPr>
            <w:tcW w:w="26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ВЭЖХ</w:t>
            </w:r>
          </w:p>
        </w:tc>
        <w:tc>
          <w:tcPr>
            <w:tcW w:w="67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высокоэффективная жидкостная хроматография</w:t>
            </w:r>
          </w:p>
        </w:tc>
      </w:tr>
      <w:tr>
        <w:tc>
          <w:tcPr>
            <w:tcW w:w="26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ОФ-ВЭЖХ</w:t>
            </w:r>
          </w:p>
        </w:tc>
        <w:tc>
          <w:tcPr>
            <w:tcW w:w="67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обращённо-фазовая высокоэффективная жидкостная хроматография</w:t>
            </w:r>
          </w:p>
        </w:tc>
      </w:tr>
      <w:tr>
        <w:tc>
          <w:tcPr>
            <w:tcW w:w="26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ПААГ</w:t>
            </w:r>
          </w:p>
        </w:tc>
        <w:tc>
          <w:tcPr>
            <w:tcW w:w="67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полиакриламидный гель (электрофорез в ПААГ)</w:t>
            </w:r>
          </w:p>
        </w:tc>
      </w:tr>
      <w:tr>
        <w:tc>
          <w:tcPr>
            <w:tcW w:w="26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TOP2A</w:t>
            </w:r>
          </w:p>
        </w:tc>
        <w:tc>
          <w:tcPr>
            <w:tcW w:w="67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ген ДНК-топоизомеразы II альфа человека</w:t>
            </w:r>
          </w:p>
        </w:tc>
      </w:tr>
      <w:tr>
        <w:tc>
          <w:tcPr>
            <w:tcW w:w="26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TOP2B</w:t>
            </w:r>
          </w:p>
        </w:tc>
        <w:tc>
          <w:tcPr>
            <w:tcW w:w="67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ген ДНК-топоизомеразы II бета человека</w:t>
            </w:r>
          </w:p>
        </w:tc>
      </w:tr>
      <w:tr>
        <w:tc>
          <w:tcPr>
            <w:tcW w:w="26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Топо II</w:t>
            </w:r>
          </w:p>
        </w:tc>
        <w:tc>
          <w:tcPr>
            <w:tcW w:w="67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фермент ДНК-топоизомераза II типа</w:t>
            </w:r>
          </w:p>
        </w:tc>
      </w:tr>
      <w:tr>
        <w:tc>
          <w:tcPr>
            <w:tcW w:w="26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ДМТ</w:t>
            </w:r>
          </w:p>
        </w:tc>
        <w:tc>
          <w:tcPr>
            <w:tcW w:w="67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4,4′-диметокситритильная защитная группа</w:t>
            </w:r>
          </w:p>
        </w:tc>
      </w:tr>
      <w:tr>
        <w:tc>
          <w:tcPr>
            <w:tcW w:w="26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СПС</w:t>
            </w:r>
          </w:p>
        </w:tc>
        <w:tc>
          <w:tcPr>
            <w:tcW w:w="67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стекло с контролируемым размером пор (твердофазный носитель)</w:t>
            </w:r>
          </w:p>
        </w:tc>
      </w:tr>
      <w:tr>
        <w:tc>
          <w:tcPr>
            <w:tcW w:w="26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ТХУ</w:t>
            </w:r>
          </w:p>
        </w:tc>
        <w:tc>
          <w:tcPr>
            <w:tcW w:w="67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трихлоруксусная кислота</w:t>
            </w:r>
          </w:p>
        </w:tc>
      </w:tr>
      <w:tr>
        <w:tc>
          <w:tcPr>
            <w:tcW w:w="26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ДХУ</w:t>
            </w:r>
          </w:p>
        </w:tc>
        <w:tc>
          <w:tcPr>
            <w:tcW w:w="67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дихлоруксусная кислота</w:t>
            </w:r>
          </w:p>
        </w:tc>
      </w:tr>
      <w:tr>
        <w:tc>
          <w:tcPr>
            <w:tcW w:w="26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АЦН</w:t>
            </w:r>
          </w:p>
        </w:tc>
        <w:tc>
          <w:tcPr>
            <w:tcW w:w="67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ацетонитрил (безводный растворитель)</w:t>
            </w:r>
          </w:p>
        </w:tc>
      </w:tr>
      <w:tr>
        <w:tc>
          <w:tcPr>
            <w:tcW w:w="26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ТГФ</w:t>
            </w:r>
          </w:p>
        </w:tc>
        <w:tc>
          <w:tcPr>
            <w:tcW w:w="67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тетрагидрофуран</w:t>
            </w:r>
          </w:p>
        </w:tc>
      </w:tr>
      <w:tr>
        <w:tc>
          <w:tcPr>
            <w:tcW w:w="26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dNTP</w:t>
            </w:r>
          </w:p>
        </w:tc>
        <w:tc>
          <w:tcPr>
            <w:tcW w:w="67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смесь дезоксирибонуклеозидтрифосфатов</w:t>
            </w:r>
          </w:p>
        </w:tc>
      </w:tr>
      <w:tr>
        <w:tc>
          <w:tcPr>
            <w:tcW w:w="26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Tm</w:t>
            </w:r>
          </w:p>
        </w:tc>
        <w:tc>
          <w:tcPr>
            <w:tcW w:w="67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температура плавления (отжига) олигонуклеотида</w:t>
            </w:r>
          </w:p>
        </w:tc>
      </w:tr>
      <w:tr>
        <w:tc>
          <w:tcPr>
            <w:tcW w:w="26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Cq (Ct)</w:t>
            </w:r>
          </w:p>
        </w:tc>
        <w:tc>
          <w:tcPr>
            <w:tcW w:w="67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пороговый цикл количественной ПЦР</w:t>
            </w:r>
          </w:p>
        </w:tc>
      </w:tr>
      <w:tr>
        <w:tc>
          <w:tcPr>
            <w:tcW w:w="26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ИГХ</w:t>
            </w:r>
          </w:p>
        </w:tc>
        <w:tc>
          <w:tcPr>
            <w:tcW w:w="67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иммуногистохимическое окрашивание</w:t>
            </w:r>
          </w:p>
        </w:tc>
      </w:tr>
      <w:tr>
        <w:tc>
          <w:tcPr>
            <w:tcW w:w="26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п.н.</w:t>
            </w:r>
          </w:p>
        </w:tc>
        <w:tc>
          <w:tcPr>
            <w:tcW w:w="67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пара нуклеотидов (единица длины ДНК)</w:t>
            </w:r>
          </w:p>
        </w:tc>
      </w:tr>
      <w:tr>
        <w:tc>
          <w:tcPr>
            <w:tcW w:w="26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кДа</w:t>
            </w:r>
          </w:p>
        </w:tc>
        <w:tc>
          <w:tcPr>
            <w:tcW w:w="67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килодальтон (единица молекулярной массы)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pageBreakBefore/>
        <w:jc w:val="center"/>
        <w:spacing w:before="240" w:after="240" w:line="360" w:lineRule="auto"/>
      </w:pPr>
      <w:r>
        <w:rPr>
          <w:rFonts w:ascii="Times New Roman" w:hAnsi="Times New Roman" w:cs="Times New Roman"/>
          <w:b/>
          <w:sz w:val="32"/>
          <w:szCs w:val="32"/>
        </w:rPr>
        <w:t xml:space="preserve">ВВЕДЕНИЕ</w:t>
      </w:r>
    </w:p>
    <w:p>
      <w:pPr>
        <w:jc w:val="both"/>
        <w:ind w:firstLine="709"/>
        <w:spacing w:after="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Актуальность исследования. </w:t>
      </w:r>
      <w:r>
        <w:rPr>
          <w:rFonts w:ascii="Times New Roman" w:hAnsi="Times New Roman" w:cs="Times New Roman"/>
          <w:sz w:val="28"/>
          <w:szCs w:val="28"/>
        </w:rPr>
        <w:t xml:space="preserve">Поддержание целостности генома и корректное протекание клеточного деления относятся к числу центральных проблем современной молекулярной биологии и биомедицины. Ключевую роль в этих процессах играет фермент ДНК-топоизомераза II альфа, кодируемый геном TOP2A: он управляет топологическим состоянием двойной спирали, снимает избыточное скручивание и обеспечивает разъединение дочерних молекул ДНК при репликации и сегрегации хромосом [1, 2, 7]. Нарушение работы этого фермента ведёт к хромосомным перестройкам, остановке клеточного цикла и запуску запрограммированной гибели клетки.</w:t>
      </w:r>
    </w:p>
    <w:p>
      <w:pPr>
        <w:jc w:val="both"/>
        <w:ind w:firstLine="709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Поскольку уровень транскрипции гена TOP2A тесно связан с интенсивностью пролиферации, его рассматривают как информативный прогностический биомаркер в онкологии. Количественная оценка матричной РНК TOP2A позволяет судить о скорости роста новообразования и прогнозировать чувствительность опухоли к препаратам, ингибирующим топоизомеразу II, — антрациклинам и этопозиду [3, 4, 11]. Наиболее точным, быстрым и воспроизводимым инструментом измерения экспрессии генов сегодня является полимеразная цепная реакция, прежде всего её количественный вариант в реальном времени, требующий применения строго специфичных олигонуклеотидных праймеров.</w:t>
      </w:r>
    </w:p>
    <w:p>
      <w:pPr>
        <w:jc w:val="both"/>
        <w:ind w:firstLine="709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Достоверность результатов полимеразной цепной реакции в значительной степени определяется качеством используемых олигонуклеотидов. Фосфорамидитный метод твердофазного синтеза, реализованный на автоматических синтезаторах, обеспечивает получение коротких фрагментов ДНК с высокой селективностью, чистотой и выходом, что делает его базовой технологией молекулярно-генетических лабораторий [5, 6, 12]. Таким образом, последовательное рассмотрение трёх взаимосвязанных звеньев — химического синтеза олигонуклеотидов, биологии гена TOP2A и методологии полимеразной цепной реакции — представляет собой единую логическую цепь, лежащую в основе современной молекулярной диагностики.</w:t>
      </w:r>
    </w:p>
    <w:p>
      <w:pPr>
        <w:jc w:val="both"/>
        <w:ind w:firstLine="709"/>
        <w:spacing w:after="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Цель работы — </w:t>
      </w:r>
      <w:r>
        <w:rPr>
          <w:rFonts w:ascii="Times New Roman" w:hAnsi="Times New Roman" w:cs="Times New Roman"/>
          <w:sz w:val="28"/>
          <w:szCs w:val="28"/>
        </w:rPr>
        <w:t xml:space="preserve">теоретическое обоснование стадий фосфорамидитного синтеза олигонуклеотидов и разработка алгоритма анализа экспрессии гена TOP2A человека методом полимеразной цепной реакции с обратной транскрипцией.</w:t>
      </w:r>
    </w:p>
    <w:p>
      <w:pPr>
        <w:jc w:val="both"/>
        <w:ind w:firstLine="709"/>
        <w:spacing w:after="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Задачи исследования:</w:t>
      </w:r>
    </w:p>
    <w:p>
      <w:pPr>
        <w:pStyle w:val="ListParagraph"/>
        <w:numPr>
          <w:ilvl w:val="0"/>
          <w:numId w:val="1"/>
        </w:numPr>
        <w:jc w:val="both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изучить химизм и технологические стадии твердофазного фосфорамидитного синтеза олигонуклеотидов, включая систему защитных групп и методы очистки продукта;</w:t>
      </w:r>
    </w:p>
    <w:p>
      <w:pPr>
        <w:pStyle w:val="ListParagraph"/>
        <w:numPr>
          <w:ilvl w:val="0"/>
          <w:numId w:val="1"/>
        </w:numPr>
        <w:jc w:val="both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систематизировать сведения о структурно-функциональной организации гена TOP2A человека, каталитическом механизме и клиническом значении кодируемого им фермента;</w:t>
      </w:r>
    </w:p>
    <w:p>
      <w:pPr>
        <w:pStyle w:val="ListParagraph"/>
        <w:numPr>
          <w:ilvl w:val="0"/>
          <w:numId w:val="1"/>
        </w:numPr>
        <w:jc w:val="both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рассмотреть теоретические и методические основы полимеразной цепной реакции и её количественных модификаций применительно к измерению экспрессии генов;</w:t>
      </w:r>
    </w:p>
    <w:p>
      <w:pPr>
        <w:pStyle w:val="ListParagraph"/>
        <w:numPr>
          <w:ilvl w:val="0"/>
          <w:numId w:val="1"/>
        </w:numPr>
        <w:jc w:val="both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выполнить биоинформатический подбор специфичных праймеров к гену TOP2A и составить протокол их синтеза, очистки и применения в количественной ОТ-ПЦР;</w:t>
      </w:r>
    </w:p>
    <w:p>
      <w:pPr>
        <w:pStyle w:val="ListParagraph"/>
        <w:numPr>
          <w:ilvl w:val="0"/>
          <w:numId w:val="1"/>
        </w:numPr>
        <w:jc w:val="both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сформулировать рекомендации по обеспечению воспроизводимости и достоверности анализа экспрессии гена TOP2A.</w:t>
      </w:r>
    </w:p>
    <w:p>
      <w:pPr>
        <w:jc w:val="both"/>
        <w:ind w:firstLine="709"/>
        <w:spacing w:after="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Объект исследования — </w:t>
      </w:r>
      <w:r>
        <w:rPr>
          <w:rFonts w:ascii="Times New Roman" w:hAnsi="Times New Roman" w:cs="Times New Roman"/>
          <w:sz w:val="28"/>
          <w:szCs w:val="28"/>
        </w:rPr>
        <w:t xml:space="preserve">процессы химического синтеза олигонуклеотидов и молекулярно-генетического анализа экспрессии генов человека.</w:t>
      </w:r>
    </w:p>
    <w:p>
      <w:pPr>
        <w:jc w:val="both"/>
        <w:ind w:firstLine="709"/>
        <w:spacing w:after="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Предмет исследования — </w:t>
      </w:r>
      <w:r>
        <w:rPr>
          <w:rFonts w:ascii="Times New Roman" w:hAnsi="Times New Roman" w:cs="Times New Roman"/>
          <w:sz w:val="28"/>
          <w:szCs w:val="28"/>
        </w:rPr>
        <w:t xml:space="preserve">совокупность химических стадий фосфорамидитного синтеза и методических приёмов количественной полимеразной цепной реакции при детекции матричной РНК гена TOP2A.</w:t>
      </w:r>
    </w:p>
    <w:p>
      <w:pPr>
        <w:jc w:val="both"/>
        <w:ind w:firstLine="709"/>
        <w:spacing w:after="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Методы исследования. </w:t>
      </w:r>
      <w:r>
        <w:rPr>
          <w:rFonts w:ascii="Times New Roman" w:hAnsi="Times New Roman" w:cs="Times New Roman"/>
          <w:sz w:val="28"/>
          <w:szCs w:val="28"/>
        </w:rPr>
        <w:t xml:space="preserve">В работе использованы аналитический обзор и систематизация научной литературы, сравнительный анализ методов синтеза и очистки олигонуклеотидов, биоинформатическое проектирование праймеров с применением общедоступных программных средств, а также расчётно-методическое моделирование протокола количественной ОТ-ПЦР.</w:t>
      </w:r>
    </w:p>
    <w:p>
      <w:pPr>
        <w:jc w:val="both"/>
        <w:ind w:firstLine="709"/>
        <w:spacing w:after="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Практическая значимость. </w:t>
      </w:r>
      <w:r>
        <w:rPr>
          <w:rFonts w:ascii="Times New Roman" w:hAnsi="Times New Roman" w:cs="Times New Roman"/>
          <w:sz w:val="28"/>
          <w:szCs w:val="28"/>
        </w:rPr>
        <w:t xml:space="preserve">Предложенный алгоритм подбора праймеров, синтеза и очистки олигонуклеотидов и постановки количественной ОТ-ПЦР может быть использован в учебных и научно-исследовательских лабораториях для оценки экспрессии гена TOP2A, в том числе при изучении пролиферативной активности опухолевых клеток и прогнозировании ответа на химиотерапию.</w:t>
      </w:r>
    </w:p>
    <w:p>
      <w:pPr>
        <w:jc w:val="both"/>
        <w:ind w:firstLine="709"/>
        <w:spacing w:after="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Структура работы. </w:t>
      </w:r>
      <w:r>
        <w:rPr>
          <w:rFonts w:ascii="Times New Roman" w:hAnsi="Times New Roman" w:cs="Times New Roman"/>
          <w:sz w:val="28"/>
          <w:szCs w:val="28"/>
        </w:rPr>
        <w:t xml:space="preserve">Работа состоит из введения, четырёх глав, заключения, выводов и списка использованных источников. Первая глава посвящена теоретическим основам синтеза олигонуклеотидов, вторая — характеристике гена TOP2A человека, третья — методологии полимеразной цепной реакции, четвёртая — материалам и методам экспериментальной части. Работа изложена на 60 с лишним страницах, содержит таблицы, схемы и рисунки, а также список использованных источников из более чем пятидесяти наименований.</w:t>
      </w:r>
    </w:p>
    <w:p>
      <w:r>
        <w:br w:type="page"/>
      </w:r>
    </w:p>
    <w:p>
      <w:pPr>
        <w:pStyle w:val="Heading1"/>
        <w:pageBreakBefore/>
        <w:jc w:val="center"/>
        <w:spacing w:before="240" w:after="240" w:line="360" w:lineRule="auto"/>
      </w:pPr>
      <w:r>
        <w:rPr>
          <w:rFonts w:ascii="Times New Roman" w:hAnsi="Times New Roman" w:cs="Times New Roman"/>
          <w:b/>
          <w:sz w:val="32"/>
          <w:szCs w:val="32"/>
        </w:rPr>
        <w:t xml:space="preserve">ГЛАВА 1. ТЕОРЕТИЧЕСКИЕ ОСНОВЫ СИНТЕЗА ОЛИГОНУКЛЕОТИДОВ</w:t>
      </w:r>
    </w:p>
    <w:p>
      <w:pPr>
        <w:pStyle w:val="Heading2"/>
        <w:jc w:val="left"/>
        <w:spacing w:before="200" w:after="160" w:line="360" w:lineRule="auto"/>
        <w:ind w:firstLine="709"/>
      </w:pPr>
      <w:r>
        <w:rPr>
          <w:rFonts w:ascii="Times New Roman" w:hAnsi="Times New Roman" w:cs="Times New Roman"/>
          <w:b/>
          <w:sz w:val="28"/>
          <w:szCs w:val="28"/>
        </w:rPr>
        <w:t xml:space="preserve">1.1 Роль синтетических нуклеиновых кислот в современной генетике</w:t>
      </w:r>
    </w:p>
    <w:p>
      <w:pPr>
        <w:jc w:val="both"/>
        <w:ind w:firstLine="709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Олигонуклеотидами называют искусственно собранные короткие цепочки нуклеотидов, обычно длиной от нескольких единиц до нескольких десятков звеньев. Несмотря на скромный размер, эти молекулы стали одним из фундаментальных рабочих инструментов молекулярной биологии и биотехнологии. Возможность направленно конструировать последовательность из четырёх канонических оснований — аденина, гуанина, цитозина и тимина — позволяет получать молекулы с заранее заданными свойствами, способные избирательно узнавать комплементарные участки нуклеиновых кислот [5, 6].</w:t>
      </w:r>
    </w:p>
    <w:p>
      <w:pPr>
        <w:jc w:val="both"/>
        <w:ind w:firstLine="709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В исследованиях экспрессии гена TOP2A синтетические олигонуклеотиды выполняют функцию праймеров — коротких затравок, с которых ДНК-полимераза начинает достройку новой цепи. Именно праймеры задают границы амплифицируемого участка и обеспечивают избирательность реакции: фермент копирует исключительно тот фрагмент, который ограничен парой комплементарных затравок. Поэтому точность нуклеотидной последовательности и химическая чистота олигонуклеотидов напрямую определяют достоверность всей последующей диагностики [6, 17].</w:t>
      </w:r>
    </w:p>
    <w:p>
      <w:pPr>
        <w:jc w:val="both"/>
        <w:ind w:firstLine="709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Помимо роли праймеров, синтетические олигонуклеотиды применяются как флуоресцентно-меченые зонды, как зонды для гибридизации, в качестве матриц для сборки генов, при сайт-направленном мутагенезе, а также в терапевтических подходах — антисмысловых препаратах и средствах на основе малых интерферирующих РНК. Широта применения объясняет высокие требования к технологии их получения [6, 15, 18].</w:t>
      </w:r>
    </w:p>
    <w:p>
      <w:pPr>
        <w:jc w:val="center"/>
        <w:spacing w:before="60" w:after="200" w:line="276" w:lineRule="auto"/>
      </w:pPr>
      <w:r>
        <w:rPr>
          <w:rFonts w:ascii="Times New Roman" w:hAnsi="Times New Roman" w:cs="Times New Roman"/>
          <w:sz w:val="24"/>
          <w:szCs w:val="24"/>
        </w:rPr>
        <w:t xml:space="preserve">Рисунок 1.1 — Области применения синтетических олигонуклеотидов в молекулярной биологии и медицине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200"/>
        <w:gridCol w:w="5100"/>
      </w:tblGrid>
      <w:tr>
        <w:tc>
          <w:tcPr>
            <w:tcW w:w="4200" w:type="dxa"/>
            <w:shd w:val="clear" w:color="auto" w:fill="D9E2F3"/>
            <w:vAlign w:val="center"/>
          </w:tcPr>
          <w:p>
            <w:pPr>
              <w:jc w:val="center"/>
              <w:spacing w:after="40" w:line="276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Область применения</w:t>
            </w:r>
          </w:p>
        </w:tc>
        <w:tc>
          <w:tcPr>
            <w:tcW w:w="5100" w:type="dxa"/>
            <w:shd w:val="clear" w:color="auto" w:fill="D9E2F3"/>
            <w:vAlign w:val="center"/>
          </w:tcPr>
          <w:p>
            <w:pPr>
              <w:jc w:val="center"/>
              <w:spacing w:after="40" w:line="276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Назначение олигонуклеотида</w:t>
            </w:r>
          </w:p>
        </w:tc>
      </w:tr>
      <w:tr>
        <w:tc>
          <w:tcPr>
            <w:tcW w:w="42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Полимеразная цепная реакция</w:t>
            </w:r>
          </w:p>
        </w:tc>
        <w:tc>
          <w:tcPr>
            <w:tcW w:w="51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праймеры, задающие границы амплификации</w:t>
            </w:r>
          </w:p>
        </w:tc>
      </w:tr>
      <w:tr>
        <w:tc>
          <w:tcPr>
            <w:tcW w:w="42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Количественная ПЦР в реальном времени</w:t>
            </w:r>
          </w:p>
        </w:tc>
        <w:tc>
          <w:tcPr>
            <w:tcW w:w="51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флуоресцентно-меченые зонды для детекции</w:t>
            </w:r>
          </w:p>
        </w:tc>
      </w:tr>
      <w:tr>
        <w:tc>
          <w:tcPr>
            <w:tcW w:w="42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Секвенирование ДНК</w:t>
            </w:r>
          </w:p>
        </w:tc>
        <w:tc>
          <w:tcPr>
            <w:tcW w:w="51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праймеры для реакции терминации цепи</w:t>
            </w:r>
          </w:p>
        </w:tc>
      </w:tr>
      <w:tr>
        <w:tc>
          <w:tcPr>
            <w:tcW w:w="42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Сайт-направленный мутагенез</w:t>
            </w:r>
          </w:p>
        </w:tc>
        <w:tc>
          <w:tcPr>
            <w:tcW w:w="51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внесение точечных замен в последовательность</w:t>
            </w:r>
          </w:p>
        </w:tc>
      </w:tr>
      <w:tr>
        <w:tc>
          <w:tcPr>
            <w:tcW w:w="42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Синтетическая биология</w:t>
            </w:r>
          </w:p>
        </w:tc>
        <w:tc>
          <w:tcPr>
            <w:tcW w:w="51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блоки для сборки искусственных генов</w:t>
            </w:r>
          </w:p>
        </w:tc>
      </w:tr>
      <w:tr>
        <w:tc>
          <w:tcPr>
            <w:tcW w:w="42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Терапия</w:t>
            </w:r>
          </w:p>
        </w:tc>
        <w:tc>
          <w:tcPr>
            <w:tcW w:w="51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антисмысловые препараты, малые интерферирующие РНК</w:t>
            </w:r>
          </w:p>
        </w:tc>
      </w:tr>
    </w:tbl>
    <w:p>
      <w:pPr>
        <w:spacing w:after="120"/>
      </w:pPr>
    </w:p>
    <w:p>
      <w:pPr>
        <w:pStyle w:val="Heading2"/>
        <w:jc w:val="left"/>
        <w:spacing w:before="200" w:after="160" w:line="360" w:lineRule="auto"/>
        <w:ind w:firstLine="709"/>
      </w:pPr>
      <w:r>
        <w:rPr>
          <w:rFonts w:ascii="Times New Roman" w:hAnsi="Times New Roman" w:cs="Times New Roman"/>
          <w:b/>
          <w:sz w:val="28"/>
          <w:szCs w:val="28"/>
        </w:rPr>
        <w:t xml:space="preserve">1.2 Краткая история развития методов химического синтеза ДНК</w:t>
      </w:r>
    </w:p>
    <w:p>
      <w:pPr>
        <w:jc w:val="both"/>
        <w:ind w:firstLine="709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Развитие методов сборки олигонуклеотидов прошло несколько принципиальных этапов. Первые работы середины двадцатого века основывались на фосфодиэфирном подходе, который был трудоёмким и давал низкие выходы. Последующий фосфотриэфирный метод повысил эффективность образования межнуклеотидной связи, однако оставался медленным и плохо поддавался автоматизации [5].</w:t>
      </w:r>
    </w:p>
    <w:p>
      <w:pPr>
        <w:jc w:val="both"/>
        <w:ind w:firstLine="709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Переломным моментом стало предложение фосфитамидного (фосфорамидитного) подхода в работах С. Бокажа и М. Карутерса в начале 1980-х годов. Использование устойчивых, но высокореакционноспособных при активации фосфорамидитных производных нуклеозидов позволило резко сократить время образования связи и повысить выход на каждой стадии до значений, близких к количественным [5, 6]. В сочетании с твердофазной стратегией, при которой растущая цепь закреплена на нерастворимом носителе, это сделало возможной полную автоматизацию процесса. Современные автоматические синтезаторы реализуют именно фосфорамидитную химию, оставаясь её прямыми наследниками.</w:t>
      </w:r>
    </w:p>
    <w:p>
      <w:pPr>
        <w:pStyle w:val="Heading2"/>
        <w:jc w:val="left"/>
        <w:spacing w:before="200" w:after="160" w:line="360" w:lineRule="auto"/>
        <w:ind w:firstLine="709"/>
      </w:pPr>
      <w:r>
        <w:rPr>
          <w:rFonts w:ascii="Times New Roman" w:hAnsi="Times New Roman" w:cs="Times New Roman"/>
          <w:b/>
          <w:sz w:val="28"/>
          <w:szCs w:val="28"/>
        </w:rPr>
        <w:t xml:space="preserve">1.3 Принцип твердофазного фосфорамидитного синтеза</w:t>
      </w:r>
    </w:p>
    <w:p>
      <w:pPr>
        <w:jc w:val="both"/>
        <w:ind w:firstLine="709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Сущность фосфорамидитного метода состоит в поэтапном наращивании нуклеотидной цепи в направлении от 3′-конца к 5′-концу. Стартовый нуклеозид заранее ковалентно закреплён на инертном пористом носителе, а каждое последующее звено присоединяется в виде активированного фосфорамидитного блока [5, 12, 14]. Принципиальное преимущество твердофазной стратегии заключается в том, что растущая цепь остаётся связанной с носителем на протяжении всего синтеза. Это позволяет после каждой стадии просто промывать колонку растворителем, удаляя избыток реагентов и побочные продукты, и тем самым доводить присоединение очередного звена практически до завершения.</w:t>
      </w:r>
    </w:p>
    <w:p>
      <w:pPr>
        <w:jc w:val="both"/>
        <w:ind w:firstLine="709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Автоматический синтезатор подаёт реагенты в реакционную колонку в строго заданной последовательности и в инертной атмосфере (обычно в токе аргона высокой чистоты), исключающей доступ влаги и кислорода. Благодаря этому достигается высокая воспроизводимость и возможность параллельного синтеза множества последовательностей [12].</w:t>
      </w:r>
    </w:p>
    <w:p>
      <w:pPr>
        <w:pStyle w:val="Heading2"/>
        <w:jc w:val="left"/>
        <w:spacing w:before="200" w:after="160" w:line="360" w:lineRule="auto"/>
        <w:ind w:firstLine="709"/>
      </w:pPr>
      <w:r>
        <w:rPr>
          <w:rFonts w:ascii="Times New Roman" w:hAnsi="Times New Roman" w:cs="Times New Roman"/>
          <w:b/>
          <w:sz w:val="28"/>
          <w:szCs w:val="28"/>
        </w:rPr>
        <w:t xml:space="preserve">1.4 Циклические стадии химической сборки цепи</w:t>
      </w:r>
    </w:p>
    <w:p>
      <w:pPr>
        <w:jc w:val="both"/>
        <w:ind w:firstLine="709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Присоединение каждого нуклеотидного звена представляет собой замкнутый цикл из четырёх последовательных химических операций. Цикл повторяется столько раз, сколько звеньев содержит целевая последовательность. Ниже рассмотрены все четыре стадии.</w:t>
      </w:r>
    </w:p>
    <w:p>
      <w:pPr>
        <w:jc w:val="both"/>
        <w:ind w:firstLine="709"/>
        <w:spacing w:after="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1) Снятие защиты (детритилирование). </w:t>
      </w:r>
      <w:r>
        <w:rPr>
          <w:rFonts w:ascii="Times New Roman" w:hAnsi="Times New Roman" w:cs="Times New Roman"/>
          <w:sz w:val="28"/>
          <w:szCs w:val="28"/>
        </w:rPr>
        <w:t xml:space="preserve">Цикл начинается с удаления кислотолабильной 4,4′-диметокситритильной группы (ДМТ-группы), закрывающей 5′-гидроксильную функцию закреплённого на носителе нуклеозида. Обработка слабым раствором кислоты (трихлоруксусной или дихлоруксусной в дихлорметане) освобождает 5′-ОН-группу, которая становится точкой присоединения следующего звена. Отщепляемый диметокситритил-катион имеет ярко-оранжевую окраску, поэтому интенсивность окрашивания раствора служит удобным показателем эффективности стадии и косвенно — выхода всего синтеза [5, 14].</w:t>
      </w:r>
    </w:p>
    <w:p>
      <w:pPr>
        <w:jc w:val="both"/>
        <w:ind w:firstLine="709"/>
        <w:spacing w:after="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2) Конденсация (активация и присоединение). </w:t>
      </w:r>
      <w:r>
        <w:rPr>
          <w:rFonts w:ascii="Times New Roman" w:hAnsi="Times New Roman" w:cs="Times New Roman"/>
          <w:sz w:val="28"/>
          <w:szCs w:val="28"/>
        </w:rPr>
        <w:t xml:space="preserve">На втором этапе к освобождённой 5′-гидроксильной группе присоединяется очередной нуклеозид-3′-фосфорамидитный блок. Реакция протекает в присутствии слабокислого активатора — производного тетразола или дицианоимидазола, — который превращает фосфорамидит в высокореакционноспособную форму. В результате образуется промежуточная фосфит-триэфирная межнуклеотидная связь. Это ключевая стадия, определяющая выход звена; её эффективность на современных приборах превышает 99 % [5, 6].</w:t>
      </w:r>
    </w:p>
    <w:p>
      <w:pPr>
        <w:jc w:val="both"/>
        <w:ind w:firstLine="709"/>
        <w:spacing w:after="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3) Блокирование непрореагировавших групп (кэпирование). </w:t>
      </w:r>
      <w:r>
        <w:rPr>
          <w:rFonts w:ascii="Times New Roman" w:hAnsi="Times New Roman" w:cs="Times New Roman"/>
          <w:sz w:val="28"/>
          <w:szCs w:val="28"/>
        </w:rPr>
        <w:t xml:space="preserve">Часть 5′-гидроксильных групп по тем или иным причинам не вступает в конденсацию. Если оставить их свободными, на следующих циклах они дадут начало дефектным укороченным цепям. Чтобы исключить такие побочные последовательности, проводят ацетилирование: смесь уксусного ангидрида и N-метилимидазола необратимо закрывает оставшиеся гидроксильные группы. Кэпирование существенно повышает чистоту конечного продукта [12, 14].</w:t>
      </w:r>
    </w:p>
    <w:p>
      <w:pPr>
        <w:jc w:val="both"/>
        <w:ind w:firstLine="709"/>
        <w:spacing w:after="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4) Окисление. </w:t>
      </w:r>
      <w:r>
        <w:rPr>
          <w:rFonts w:ascii="Times New Roman" w:hAnsi="Times New Roman" w:cs="Times New Roman"/>
          <w:sz w:val="28"/>
          <w:szCs w:val="28"/>
        </w:rPr>
        <w:t xml:space="preserve">Завершает цикл стадия окисления, на которой лабильная фосфит-триэфирная связь переводится в устойчивую фосфотриэфирную (фосфатную) форму. Окислителем служит раствор иода в смеси тетрагидрофурана, пиридина и воды. Образование стабильного фосфатного остова обеспечивает химическую прочность и структурную целостность растущей цепи [5, 14].</w:t>
      </w:r>
    </w:p>
    <w:p>
      <w:pPr>
        <w:jc w:val="both"/>
        <w:ind w:firstLine="709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После окисления цикл замыкается: вновь проводят детритилирование, и процесс повторяется до полной сборки заданной последовательности. Логика цикла представлена на рисунке 1.2 в виде блок-схемы.</w:t>
      </w:r>
    </w:p>
    <w:tbl>
      <w:tblPr>
        <w:tblW w:w="9300" w:type="dxa"/>
        <w:jc w:val="center"/>
        <w:tbl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</w:tblBorders>
      </w:tblPr>
      <w:tblGrid>
        <w:gridCol w:w="9300"/>
      </w:tblGrid>
      <w:tr>
        <w:tc>
          <w:tcPr>
            <w:tcW w:w="9300" w:type="dxa"/>
            <w:shd w:val="clear" w:color="auto" w:fill="DCE6F1"/>
            <w:vAlign w:val="center"/>
          </w:tcPr>
          <w:p>
            <w:pPr>
              <w:jc w:val="center"/>
              <w:spacing w:after="20" w:line="276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СТАРТ: нуклеозид на носителе (5′-ОН закрыт ДМТ-группой)</w:t>
            </w:r>
          </w:p>
          <w:p>
            <w:pPr>
              <w:jc w:val="center"/>
              <w:spacing w:after="0" w:line="259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твердофазный носитель — стекло с контролируемым размером пор</w:t>
            </w:r>
          </w:p>
        </w:tc>
      </w:tr>
    </w:tbl>
    <w:p>
      <w:pPr>
        <w:jc w:val="center"/>
        <w:spacing w:after="0" w:before="0"/>
      </w:pPr>
      <w:r>
        <w:rPr>
          <w:rFonts w:ascii="Times New Roman" w:hAnsi="Times New Roman" w:cs="Times New Roman"/>
          <w:b/>
          <w:sz w:val="24"/>
          <w:szCs w:val="24"/>
        </w:rPr>
        <w:t xml:space="preserve">↓ стадия 1</w:t>
      </w:r>
    </w:p>
    <w:tbl>
      <w:tblPr>
        <w:tblW w:w="9300" w:type="dxa"/>
        <w:jc w:val="center"/>
        <w:tbl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</w:tblBorders>
      </w:tblPr>
      <w:tblGrid>
        <w:gridCol w:w="9300"/>
      </w:tblGrid>
      <w:tr>
        <w:tc>
          <w:tcPr>
            <w:tcW w:w="9300" w:type="dxa"/>
            <w:shd w:val="clear" w:color="auto" w:fill="FDE9D9"/>
            <w:vAlign w:val="center"/>
          </w:tcPr>
          <w:p>
            <w:pPr>
              <w:jc w:val="center"/>
              <w:spacing w:after="20" w:line="276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1. ДЕТРИТИЛИРОВАНИЕ</w:t>
            </w:r>
          </w:p>
          <w:p>
            <w:pPr>
              <w:jc w:val="center"/>
              <w:spacing w:after="0" w:line="259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раствор кислоты (ТХУ/ДХУ в дихлорметане)</w:t>
            </w:r>
          </w:p>
          <w:p>
            <w:pPr>
              <w:jc w:val="center"/>
              <w:spacing w:after="0" w:line="259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удаление ДМТ-группы → свободная 5′-ОН-группа</w:t>
            </w:r>
          </w:p>
        </w:tc>
      </w:tr>
    </w:tbl>
    <w:p>
      <w:pPr>
        <w:jc w:val="center"/>
        <w:spacing w:after="0" w:before="0"/>
      </w:pPr>
      <w:r>
        <w:rPr>
          <w:rFonts w:ascii="Times New Roman" w:hAnsi="Times New Roman" w:cs="Times New Roman"/>
          <w:b/>
          <w:sz w:val="24"/>
          <w:szCs w:val="24"/>
        </w:rPr>
        <w:t xml:space="preserve">↓ стадия 2</w:t>
      </w:r>
    </w:p>
    <w:tbl>
      <w:tblPr>
        <w:tblW w:w="9300" w:type="dxa"/>
        <w:jc w:val="center"/>
        <w:tbl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</w:tblBorders>
      </w:tblPr>
      <w:tblGrid>
        <w:gridCol w:w="9300"/>
      </w:tblGrid>
      <w:tr>
        <w:tc>
          <w:tcPr>
            <w:tcW w:w="9300" w:type="dxa"/>
            <w:shd w:val="clear" w:color="auto" w:fill="EBF1DE"/>
            <w:vAlign w:val="center"/>
          </w:tcPr>
          <w:p>
            <w:pPr>
              <w:jc w:val="center"/>
              <w:spacing w:after="20" w:line="276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2. КОНДЕНСАЦИЯ</w:t>
            </w:r>
          </w:p>
          <w:p>
            <w:pPr>
              <w:jc w:val="center"/>
              <w:spacing w:after="0" w:line="259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фосфорамидитный блок + активатор (тетразол)</w:t>
            </w:r>
          </w:p>
          <w:p>
            <w:pPr>
              <w:jc w:val="center"/>
              <w:spacing w:after="0" w:line="259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образование фосфит-триэфирной связи</w:t>
            </w:r>
          </w:p>
        </w:tc>
      </w:tr>
    </w:tbl>
    <w:p>
      <w:pPr>
        <w:jc w:val="center"/>
        <w:spacing w:after="0" w:before="0"/>
      </w:pPr>
      <w:r>
        <w:rPr>
          <w:rFonts w:ascii="Times New Roman" w:hAnsi="Times New Roman" w:cs="Times New Roman"/>
          <w:b/>
          <w:sz w:val="24"/>
          <w:szCs w:val="24"/>
        </w:rPr>
        <w:t xml:space="preserve">↓ стадия 3</w:t>
      </w:r>
    </w:p>
    <w:tbl>
      <w:tblPr>
        <w:tblW w:w="9300" w:type="dxa"/>
        <w:jc w:val="center"/>
        <w:tbl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</w:tblBorders>
      </w:tblPr>
      <w:tblGrid>
        <w:gridCol w:w="9300"/>
      </w:tblGrid>
      <w:tr>
        <w:tc>
          <w:tcPr>
            <w:tcW w:w="9300" w:type="dxa"/>
            <w:shd w:val="clear" w:color="auto" w:fill="F2DCDB"/>
            <w:vAlign w:val="center"/>
          </w:tcPr>
          <w:p>
            <w:pPr>
              <w:jc w:val="center"/>
              <w:spacing w:after="20" w:line="276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3. КЭПИРОВАНИЕ</w:t>
            </w:r>
          </w:p>
          <w:p>
            <w:pPr>
              <w:jc w:val="center"/>
              <w:spacing w:after="0" w:line="259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уксусный ангидрид + N-метилимидазол</w:t>
            </w:r>
          </w:p>
          <w:p>
            <w:pPr>
              <w:jc w:val="center"/>
              <w:spacing w:after="0" w:line="259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блокировка непрореагировавших 5′-ОН-групп</w:t>
            </w:r>
          </w:p>
        </w:tc>
      </w:tr>
    </w:tbl>
    <w:p>
      <w:pPr>
        <w:jc w:val="center"/>
        <w:spacing w:after="0" w:before="0"/>
      </w:pPr>
      <w:r>
        <w:rPr>
          <w:rFonts w:ascii="Times New Roman" w:hAnsi="Times New Roman" w:cs="Times New Roman"/>
          <w:b/>
          <w:sz w:val="24"/>
          <w:szCs w:val="24"/>
        </w:rPr>
        <w:t xml:space="preserve">↓ стадия 4</w:t>
      </w:r>
    </w:p>
    <w:tbl>
      <w:tblPr>
        <w:tblW w:w="9300" w:type="dxa"/>
        <w:jc w:val="center"/>
        <w:tbl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</w:tblBorders>
      </w:tblPr>
      <w:tblGrid>
        <w:gridCol w:w="9300"/>
      </w:tblGrid>
      <w:tr>
        <w:tc>
          <w:tcPr>
            <w:tcW w:w="9300" w:type="dxa"/>
            <w:shd w:val="clear" w:color="auto" w:fill="E5E0EC"/>
            <w:vAlign w:val="center"/>
          </w:tcPr>
          <w:p>
            <w:pPr>
              <w:jc w:val="center"/>
              <w:spacing w:after="20" w:line="276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4. ОКИСЛЕНИЕ</w:t>
            </w:r>
          </w:p>
          <w:p>
            <w:pPr>
              <w:jc w:val="center"/>
              <w:spacing w:after="0" w:line="259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раствор иода (ТГФ/пиридин/вода)</w:t>
            </w:r>
          </w:p>
          <w:p>
            <w:pPr>
              <w:jc w:val="center"/>
              <w:spacing w:after="0" w:line="259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фосфит-триэфир → устойчивый фосфотриэфир</w:t>
            </w:r>
          </w:p>
        </w:tc>
      </w:tr>
    </w:tbl>
    <w:p>
      <w:pPr>
        <w:jc w:val="center"/>
        <w:spacing w:after="0" w:before="0"/>
      </w:pPr>
      <w:r>
        <w:rPr>
          <w:rFonts w:ascii="Times New Roman" w:hAnsi="Times New Roman" w:cs="Times New Roman"/>
          <w:b/>
          <w:sz w:val="24"/>
          <w:szCs w:val="24"/>
        </w:rPr>
        <w:t xml:space="preserve">↓ повтор цикла N раз → готовая цепь</w:t>
      </w:r>
    </w:p>
    <w:p>
      <w:pPr>
        <w:jc w:val="center"/>
        <w:spacing w:before="60" w:after="200" w:line="276" w:lineRule="auto"/>
      </w:pPr>
      <w:r>
        <w:rPr>
          <w:rFonts w:ascii="Times New Roman" w:hAnsi="Times New Roman" w:cs="Times New Roman"/>
          <w:sz w:val="24"/>
          <w:szCs w:val="24"/>
        </w:rPr>
        <w:t xml:space="preserve">Рисунок 1.2 — Замкнутый цикл присоединения одного нуклеотидного звена при фосфорамидитном синтезе</w:t>
      </w:r>
    </w:p>
    <w:p>
      <w:pPr>
        <w:jc w:val="center"/>
        <w:spacing w:before="60" w:after="200" w:line="276" w:lineRule="auto"/>
      </w:pPr>
      <w:r>
        <w:rPr>
          <w:rFonts w:ascii="Times New Roman" w:hAnsi="Times New Roman" w:cs="Times New Roman"/>
          <w:sz w:val="24"/>
          <w:szCs w:val="24"/>
        </w:rPr>
        <w:t xml:space="preserve">Рисунок 1.3 — Реагенты и назначение стадий синтетического цикла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00"/>
        <w:gridCol w:w="4100"/>
        <w:gridCol w:w="3000"/>
      </w:tblGrid>
      <w:tr>
        <w:tc>
          <w:tcPr>
            <w:tcW w:w="2200" w:type="dxa"/>
            <w:shd w:val="clear" w:color="auto" w:fill="D9E2F3"/>
            <w:vAlign w:val="center"/>
          </w:tcPr>
          <w:p>
            <w:pPr>
              <w:jc w:val="center"/>
              <w:spacing w:after="40" w:line="276" w:lineRule="auto"/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Стадия</w:t>
            </w:r>
          </w:p>
        </w:tc>
        <w:tc>
          <w:tcPr>
            <w:tcW w:w="4100" w:type="dxa"/>
            <w:shd w:val="clear" w:color="auto" w:fill="D9E2F3"/>
            <w:vAlign w:val="center"/>
          </w:tcPr>
          <w:p>
            <w:pPr>
              <w:jc w:val="center"/>
              <w:spacing w:after="40" w:line="276" w:lineRule="auto"/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Основной реагент</w:t>
            </w:r>
          </w:p>
        </w:tc>
        <w:tc>
          <w:tcPr>
            <w:tcW w:w="3000" w:type="dxa"/>
            <w:shd w:val="clear" w:color="auto" w:fill="D9E2F3"/>
            <w:vAlign w:val="center"/>
          </w:tcPr>
          <w:p>
            <w:pPr>
              <w:jc w:val="center"/>
              <w:spacing w:after="40" w:line="276" w:lineRule="auto"/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Результат</w:t>
            </w:r>
          </w:p>
        </w:tc>
      </w:tr>
      <w:tr>
        <w:tc>
          <w:tcPr>
            <w:tcW w:w="22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Детритилирование</w:t>
            </w:r>
          </w:p>
        </w:tc>
        <w:tc>
          <w:tcPr>
            <w:tcW w:w="41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ТХУ или ДХУ в дихлорметане</w:t>
            </w:r>
          </w:p>
        </w:tc>
        <w:tc>
          <w:tcPr>
            <w:tcW w:w="30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освобождение 5′-ОН-группы</w:t>
            </w:r>
          </w:p>
        </w:tc>
      </w:tr>
      <w:tr>
        <w:tc>
          <w:tcPr>
            <w:tcW w:w="22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Конденсация</w:t>
            </w:r>
          </w:p>
        </w:tc>
        <w:tc>
          <w:tcPr>
            <w:tcW w:w="41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фосфорамидит + тетразоловый активатор</w:t>
            </w:r>
          </w:p>
        </w:tc>
        <w:tc>
          <w:tcPr>
            <w:tcW w:w="30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межнуклеотидная фосфит-связь</w:t>
            </w:r>
          </w:p>
        </w:tc>
      </w:tr>
      <w:tr>
        <w:tc>
          <w:tcPr>
            <w:tcW w:w="22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Кэпирование</w:t>
            </w:r>
          </w:p>
        </w:tc>
        <w:tc>
          <w:tcPr>
            <w:tcW w:w="41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уксусный ангидрид + N-метилимидазол</w:t>
            </w:r>
          </w:p>
        </w:tc>
        <w:tc>
          <w:tcPr>
            <w:tcW w:w="30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блокировка дефектных цепей</w:t>
            </w:r>
          </w:p>
        </w:tc>
      </w:tr>
      <w:tr>
        <w:tc>
          <w:tcPr>
            <w:tcW w:w="22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Окисление</w:t>
            </w:r>
          </w:p>
        </w:tc>
        <w:tc>
          <w:tcPr>
            <w:tcW w:w="41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иод в ТГФ/пиридине/воде</w:t>
            </w:r>
          </w:p>
        </w:tc>
        <w:tc>
          <w:tcPr>
            <w:tcW w:w="30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стабильный фосфатный остов</w:t>
            </w:r>
          </w:p>
        </w:tc>
      </w:tr>
    </w:tbl>
    <w:p>
      <w:pPr>
        <w:spacing w:after="120"/>
      </w:pPr>
    </w:p>
    <w:p>
      <w:pPr>
        <w:pStyle w:val="Heading2"/>
        <w:jc w:val="left"/>
        <w:spacing w:before="200" w:after="160" w:line="360" w:lineRule="auto"/>
        <w:ind w:firstLine="709"/>
      </w:pPr>
      <w:r>
        <w:rPr>
          <w:rFonts w:ascii="Times New Roman" w:hAnsi="Times New Roman" w:cs="Times New Roman"/>
          <w:b/>
          <w:sz w:val="28"/>
          <w:szCs w:val="28"/>
        </w:rPr>
        <w:t xml:space="preserve">1.5 Система защиты функциональных групп</w:t>
      </w:r>
    </w:p>
    <w:p>
      <w:pPr>
        <w:jc w:val="both"/>
        <w:ind w:firstLine="709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Нуклеозиды содержат несколько химически активных групп, которые при синтезе могут вступать в нежелательные побочные реакции. Чтобы направить процесс строго по заданному пути, эти группы временно закрывают защитными группировками, удаляемыми на определённых этапах. Различают временную защиту 5′-гидроксильной функции, снимаемую в каждом цикле, и постоянную защиту, удаляемую только после завершения всей сборки [5, 15].</w:t>
      </w:r>
    </w:p>
    <w:p>
      <w:pPr>
        <w:pStyle w:val="ListParagraph"/>
        <w:numPr>
          <w:ilvl w:val="0"/>
          <w:numId w:val="1"/>
        </w:numPr>
        <w:jc w:val="both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5′-гидроксильная группа защищается кислотолабильной диметокситритильной группой и освобождается на стадии детритилирования каждого цикла;</w:t>
      </w:r>
    </w:p>
    <w:p>
      <w:pPr>
        <w:pStyle w:val="ListParagraph"/>
        <w:numPr>
          <w:ilvl w:val="0"/>
          <w:numId w:val="1"/>
        </w:numPr>
        <w:jc w:val="both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экзоциклические аминогруппы азотистых оснований (аденина, цитозина, гуанина) закрываются ацильными группами — бензоильной или изобутирильной, устойчивыми в условиях синтеза;</w:t>
      </w:r>
    </w:p>
    <w:p>
      <w:pPr>
        <w:pStyle w:val="ListParagraph"/>
        <w:numPr>
          <w:ilvl w:val="0"/>
          <w:numId w:val="1"/>
        </w:numPr>
        <w:jc w:val="both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фосфатный остов защищается 2-цианэтильной группой, предотвращающей побочные реакции по атому фосфора;</w:t>
      </w:r>
    </w:p>
    <w:p>
      <w:pPr>
        <w:pStyle w:val="ListParagraph"/>
        <w:numPr>
          <w:ilvl w:val="0"/>
          <w:numId w:val="1"/>
        </w:numPr>
        <w:jc w:val="both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постоянные защитные группы удаляются на финальной стадии обработкой концентрированным раствором аммиака, одновременно отщепляющего цепь от носителя.</w:t>
      </w:r>
    </w:p>
    <w:p>
      <w:pPr>
        <w:jc w:val="both"/>
        <w:ind w:firstLine="709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Продуманная система ортогональной защиты — одно из условий высокой точности фосфорамидитного синтеза: каждая группа снимается в строго определённый момент и не затрагивает остальные [5, 15].</w:t>
      </w:r>
    </w:p>
    <w:p>
      <w:pPr>
        <w:pStyle w:val="Heading2"/>
        <w:jc w:val="left"/>
        <w:spacing w:before="200" w:after="160" w:line="360" w:lineRule="auto"/>
        <w:ind w:firstLine="709"/>
      </w:pPr>
      <w:r>
        <w:rPr>
          <w:rFonts w:ascii="Times New Roman" w:hAnsi="Times New Roman" w:cs="Times New Roman"/>
          <w:b/>
          <w:sz w:val="28"/>
          <w:szCs w:val="28"/>
        </w:rPr>
        <w:t xml:space="preserve">1.6 Твердофазные носители</w:t>
      </w:r>
    </w:p>
    <w:p>
      <w:pPr>
        <w:jc w:val="both"/>
        <w:ind w:firstLine="709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В качестве нерастворимой подложки чаще всего применяют стекло с контролируемым размером пор и полимерные носители на основе полистирола. Стекло с контролируемым размером пор обладает жёсткой структурой, химической инертностью и равномерным распределением пор, что обеспечивает хороший доступ реагентов к растущей цепи. Размер пор подбирают в зависимости от планируемой длины олигонуклеотида: для более длинных последовательностей используют носители с порами большего диаметра [6, 12]. Стартовый нуклеозид присоединяют к носителю через расщепляемый линкер — как правило, сукцинильный мостик, который разрывается при финальной аммиачной обработке.</w:t>
      </w:r>
    </w:p>
    <w:p>
      <w:pPr>
        <w:pStyle w:val="Heading2"/>
        <w:jc w:val="left"/>
        <w:spacing w:before="200" w:after="160" w:line="360" w:lineRule="auto"/>
        <w:ind w:firstLine="709"/>
      </w:pPr>
      <w:r>
        <w:rPr>
          <w:rFonts w:ascii="Times New Roman" w:hAnsi="Times New Roman" w:cs="Times New Roman"/>
          <w:b/>
          <w:sz w:val="28"/>
          <w:szCs w:val="28"/>
        </w:rPr>
        <w:t xml:space="preserve">1.7 Деблокирование и снятие олигонуклеотида с носителя</w:t>
      </w:r>
    </w:p>
    <w:p>
      <w:pPr>
        <w:jc w:val="both"/>
        <w:ind w:firstLine="709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По завершении всех циклов синтеза собранную цепь необходимо отделить от твердофазного носителя и удалить постоянные защитные группы. Обе задачи решаются обработкой концентрированным водным раствором аммиака (нередко при повышенной температуре). Аммиак разрывает сукцинильный линкер, освобождая олигонуклеотид, и одновременно отщепляет ацильную защиту оснований и цианэтильную защиту фосфатов [5, 6]. В результате получают неочищенную смесь, содержащую целевой продукт, а также укороченные цепи и низкомолекулярные примеси, которые удаляют на стадии очистки.</w:t>
      </w:r>
    </w:p>
    <w:p>
      <w:pPr>
        <w:pStyle w:val="Heading2"/>
        <w:jc w:val="left"/>
        <w:spacing w:before="200" w:after="160" w:line="360" w:lineRule="auto"/>
        <w:ind w:firstLine="709"/>
      </w:pPr>
      <w:r>
        <w:rPr>
          <w:rFonts w:ascii="Times New Roman" w:hAnsi="Times New Roman" w:cs="Times New Roman"/>
          <w:b/>
          <w:sz w:val="28"/>
          <w:szCs w:val="28"/>
        </w:rPr>
        <w:t xml:space="preserve">1.8 Методы выделения и анализа чистоты продукта</w:t>
      </w:r>
    </w:p>
    <w:p>
      <w:pPr>
        <w:jc w:val="both"/>
        <w:ind w:firstLine="709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Неочищенная смесь после деблокирования содержит примеси, способные снижать эффективность и специфичность полимеразной цепной реакции. Поэтому олигонуклеотиды, предназначенные для точной диагностики, подвергают очистке. Наиболее распространены два подхода [6, 10].</w:t>
      </w:r>
    </w:p>
    <w:p>
      <w:pPr>
        <w:pStyle w:val="ListParagraph"/>
        <w:numPr>
          <w:ilvl w:val="0"/>
          <w:numId w:val="1"/>
        </w:numPr>
        <w:jc w:val="both"/>
        <w:spacing w:after="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Электрофоретическая очистка в полиакриламидном геле. </w:t>
      </w:r>
      <w:r>
        <w:rPr>
          <w:rFonts w:ascii="Times New Roman" w:hAnsi="Times New Roman" w:cs="Times New Roman"/>
          <w:sz w:val="28"/>
          <w:szCs w:val="28"/>
        </w:rPr>
        <w:t xml:space="preserve">Разделение молекул по длине в денатурирующем геле позволяет выделить фракцию строго заданного размера и отделить укороченные продукты. Метод обеспечивает высокую разрешающую способность, особенно для длинных олигонуклеотидов.</w:t>
      </w:r>
    </w:p>
    <w:p>
      <w:pPr>
        <w:pStyle w:val="ListParagraph"/>
        <w:numPr>
          <w:ilvl w:val="0"/>
          <w:numId w:val="1"/>
        </w:numPr>
        <w:jc w:val="both"/>
        <w:spacing w:after="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Обращённо-фазовая высокоэффективная жидкостная хроматография. </w:t>
      </w:r>
      <w:r>
        <w:rPr>
          <w:rFonts w:ascii="Times New Roman" w:hAnsi="Times New Roman" w:cs="Times New Roman"/>
          <w:sz w:val="28"/>
          <w:szCs w:val="28"/>
        </w:rPr>
        <w:t xml:space="preserve">Разделение основано на различиях в гидрофобности молекул; метод даёт высокую степень очистки и хорошо поддаётся автоматизации, что важно при работе с чувствительными мишенями, такими как ген TOP2A.</w:t>
      </w:r>
    </w:p>
    <w:p>
      <w:pPr>
        <w:jc w:val="both"/>
        <w:ind w:firstLine="709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Контроль качества готового препарата проводят спектрофотометрически: по поглощению при длине волны 260 нанометров определяют концентрацию нуклеиновой кислоты, а соотношение поглощений при 260 и 280 нанометрах характеризует чистоту. Для подтверждения молекулярной массы и состава применяют масс-спектрометрию, а для оценки гомогенности — аналитический электрофорез или аналитическую хроматографию [6, 10].</w:t>
      </w:r>
    </w:p>
    <w:p>
      <w:pPr>
        <w:jc w:val="center"/>
        <w:spacing w:before="60" w:after="200" w:line="276" w:lineRule="auto"/>
      </w:pPr>
      <w:r>
        <w:rPr>
          <w:rFonts w:ascii="Times New Roman" w:hAnsi="Times New Roman" w:cs="Times New Roman"/>
          <w:sz w:val="24"/>
          <w:szCs w:val="24"/>
        </w:rPr>
        <w:t xml:space="preserve">Рисунок 1.4 — Сравнительная характеристика методов очистки олигонуклеотидов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00"/>
        <w:gridCol w:w="3000"/>
        <w:gridCol w:w="3400"/>
      </w:tblGrid>
      <w:tr>
        <w:tc>
          <w:tcPr>
            <w:tcW w:w="2900" w:type="dxa"/>
            <w:shd w:val="clear" w:color="auto" w:fill="D9E2F3"/>
            <w:vAlign w:val="center"/>
          </w:tcPr>
          <w:p>
            <w:pPr>
              <w:jc w:val="center"/>
              <w:spacing w:after="40" w:line="276" w:lineRule="auto"/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Метод</w:t>
            </w:r>
          </w:p>
        </w:tc>
        <w:tc>
          <w:tcPr>
            <w:tcW w:w="3000" w:type="dxa"/>
            <w:shd w:val="clear" w:color="auto" w:fill="D9E2F3"/>
            <w:vAlign w:val="center"/>
          </w:tcPr>
          <w:p>
            <w:pPr>
              <w:jc w:val="center"/>
              <w:spacing w:after="40" w:line="276" w:lineRule="auto"/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Принцип разделения</w:t>
            </w:r>
          </w:p>
        </w:tc>
        <w:tc>
          <w:tcPr>
            <w:tcW w:w="3400" w:type="dxa"/>
            <w:shd w:val="clear" w:color="auto" w:fill="D9E2F3"/>
            <w:vAlign w:val="center"/>
          </w:tcPr>
          <w:p>
            <w:pPr>
              <w:jc w:val="center"/>
              <w:spacing w:after="40" w:line="276" w:lineRule="auto"/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Особенности</w:t>
            </w:r>
          </w:p>
        </w:tc>
      </w:tr>
      <w:tr>
        <w:tc>
          <w:tcPr>
            <w:tcW w:w="29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Электрофорез в ПААГ</w:t>
            </w:r>
          </w:p>
        </w:tc>
        <w:tc>
          <w:tcPr>
            <w:tcW w:w="30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по длине цепи</w:t>
            </w:r>
          </w:p>
        </w:tc>
        <w:tc>
          <w:tcPr>
            <w:tcW w:w="34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высокое разрешение, выделение точной длины</w:t>
            </w:r>
          </w:p>
        </w:tc>
      </w:tr>
      <w:tr>
        <w:tc>
          <w:tcPr>
            <w:tcW w:w="29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Обращённо-фазовая ВЭЖХ</w:t>
            </w:r>
          </w:p>
        </w:tc>
        <w:tc>
          <w:tcPr>
            <w:tcW w:w="30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по гидрофобности</w:t>
            </w:r>
          </w:p>
        </w:tc>
        <w:tc>
          <w:tcPr>
            <w:tcW w:w="34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высокая чистота, автоматизация</w:t>
            </w:r>
          </w:p>
        </w:tc>
      </w:tr>
      <w:tr>
        <w:tc>
          <w:tcPr>
            <w:tcW w:w="29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Обессоливание (гель-фильтрация)</w:t>
            </w:r>
          </w:p>
        </w:tc>
        <w:tc>
          <w:tcPr>
            <w:tcW w:w="30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по размеру молекул</w:t>
            </w:r>
          </w:p>
        </w:tc>
        <w:tc>
          <w:tcPr>
            <w:tcW w:w="34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удаление солей и низкомолекулярных примесей</w:t>
            </w:r>
          </w:p>
        </w:tc>
      </w:tr>
    </w:tbl>
    <w:p>
      <w:pPr>
        <w:spacing w:after="120"/>
      </w:pPr>
    </w:p>
    <w:p>
      <w:pPr>
        <w:jc w:val="both"/>
        <w:ind w:firstLine="709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Таким образом, фосфорамидитный твердофазный синтез в сочетании с продуманной системой защитных групп и эффективными методами очистки позволяет получать олигонуклеотиды требуемой длины, чистоты и специфичности — это необходимое условие надёжного анализа экспрессии гена TOP2A методом полимеразной цепной реакции.</w:t>
      </w:r>
    </w:p>
    <w:p>
      <w:pPr>
        <w:pStyle w:val="Heading1"/>
        <w:pageBreakBefore/>
        <w:jc w:val="center"/>
        <w:spacing w:before="240" w:after="240" w:line="360" w:lineRule="auto"/>
      </w:pPr>
      <w:r>
        <w:rPr>
          <w:rFonts w:ascii="Times New Roman" w:hAnsi="Times New Roman" w:cs="Times New Roman"/>
          <w:b/>
          <w:sz w:val="32"/>
          <w:szCs w:val="32"/>
        </w:rPr>
        <w:t xml:space="preserve">ГЛАВА 2. ХАРАКТЕРИСТИКА ГЕНА TOP2A ЧЕЛОВЕКА</w:t>
      </w:r>
    </w:p>
    <w:p>
      <w:pPr>
        <w:pStyle w:val="Heading2"/>
        <w:jc w:val="left"/>
        <w:spacing w:before="200" w:after="160" w:line="360" w:lineRule="auto"/>
        <w:ind w:firstLine="709"/>
      </w:pPr>
      <w:r>
        <w:rPr>
          <w:rFonts w:ascii="Times New Roman" w:hAnsi="Times New Roman" w:cs="Times New Roman"/>
          <w:b/>
          <w:sz w:val="28"/>
          <w:szCs w:val="28"/>
        </w:rPr>
        <w:t xml:space="preserve">2.1 ДНК-топоизомеразы: общая классификация и функции</w:t>
      </w:r>
    </w:p>
    <w:p>
      <w:pPr>
        <w:jc w:val="both"/>
        <w:ind w:firstLine="709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ДНК-топоизомеразы — это ферменты, управляющие пространственной (топологической) организацией двойной спирали. В ходе репликации, транскрипции и упаковки хроматина перед движущейся ферментной машиной возникает избыточное положительное скручивание, а позади — отрицательное; кроме того, образуются переплетения и узлы. Топоизомеразы устраняют эти напряжения, внося временные разрывы в цепи ДНК и затем восстанавливая их [1, 7].</w:t>
      </w:r>
    </w:p>
    <w:p>
      <w:pPr>
        <w:jc w:val="both"/>
        <w:ind w:firstLine="709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По механизму действия выделяют два основных типа. Топоизомеразы I типа вносят разрыв в одну цепь и изменяют степень скручивания пошагово, не требуя затрат энергии аденозинтрифосфата. Топоизомеразы II типа вносят двухцепочечный разрыв, проводят сквозь него другой участок двойной спирали и затем сшивают разрыв; этот процесс сопряжён с гидролизом аденозинтрифосфата [1, 7, 8]. Именно к топоизомеразам II типа относится фермент, кодируемый геном TOP2A.</w:t>
      </w:r>
    </w:p>
    <w:p>
      <w:pPr>
        <w:jc w:val="center"/>
        <w:spacing w:before="60" w:after="200" w:line="276" w:lineRule="auto"/>
      </w:pPr>
      <w:r>
        <w:rPr>
          <w:rFonts w:ascii="Times New Roman" w:hAnsi="Times New Roman" w:cs="Times New Roman"/>
          <w:sz w:val="24"/>
          <w:szCs w:val="24"/>
        </w:rPr>
        <w:t xml:space="preserve">Рисунок 2.1 — Сопоставление топоизомераз I и II типов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00"/>
        <w:gridCol w:w="3200"/>
        <w:gridCol w:w="3200"/>
      </w:tblGrid>
      <w:tr>
        <w:tc>
          <w:tcPr>
            <w:tcW w:w="2900" w:type="dxa"/>
            <w:shd w:val="clear" w:color="auto" w:fill="D9E2F3"/>
            <w:vAlign w:val="center"/>
          </w:tcPr>
          <w:p>
            <w:pPr>
              <w:jc w:val="center"/>
              <w:spacing w:after="40" w:line="276" w:lineRule="auto"/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Признак</w:t>
            </w:r>
          </w:p>
        </w:tc>
        <w:tc>
          <w:tcPr>
            <w:tcW w:w="3200" w:type="dxa"/>
            <w:shd w:val="clear" w:color="auto" w:fill="D9E2F3"/>
            <w:vAlign w:val="center"/>
          </w:tcPr>
          <w:p>
            <w:pPr>
              <w:jc w:val="center"/>
              <w:spacing w:after="40" w:line="276" w:lineRule="auto"/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Топоизомераза I</w:t>
            </w:r>
          </w:p>
        </w:tc>
        <w:tc>
          <w:tcPr>
            <w:tcW w:w="3200" w:type="dxa"/>
            <w:shd w:val="clear" w:color="auto" w:fill="D9E2F3"/>
            <w:vAlign w:val="center"/>
          </w:tcPr>
          <w:p>
            <w:pPr>
              <w:jc w:val="center"/>
              <w:spacing w:after="40" w:line="276" w:lineRule="auto"/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Топоизомераза II</w:t>
            </w:r>
          </w:p>
        </w:tc>
      </w:tr>
      <w:tr>
        <w:tc>
          <w:tcPr>
            <w:tcW w:w="29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Тип разрыва</w:t>
            </w:r>
          </w:p>
        </w:tc>
        <w:tc>
          <w:tcPr>
            <w:tcW w:w="32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одноцепочечный</w:t>
            </w:r>
          </w:p>
        </w:tc>
        <w:tc>
          <w:tcPr>
            <w:tcW w:w="32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двухцепочечный</w:t>
            </w:r>
          </w:p>
        </w:tc>
      </w:tr>
      <w:tr>
        <w:tc>
          <w:tcPr>
            <w:tcW w:w="29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Потребность в АТФ</w:t>
            </w:r>
          </w:p>
        </w:tc>
        <w:tc>
          <w:tcPr>
            <w:tcW w:w="32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не требуется</w:t>
            </w:r>
          </w:p>
        </w:tc>
        <w:tc>
          <w:tcPr>
            <w:tcW w:w="32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требуется</w:t>
            </w:r>
          </w:p>
        </w:tc>
      </w:tr>
      <w:tr>
        <w:tc>
          <w:tcPr>
            <w:tcW w:w="29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Изменение скрученности</w:t>
            </w:r>
          </w:p>
        </w:tc>
        <w:tc>
          <w:tcPr>
            <w:tcW w:w="32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пошаговое</w:t>
            </w:r>
          </w:p>
        </w:tc>
        <w:tc>
          <w:tcPr>
            <w:tcW w:w="32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блоками по два</w:t>
            </w:r>
          </w:p>
        </w:tc>
      </w:tr>
      <w:tr>
        <w:tc>
          <w:tcPr>
            <w:tcW w:w="29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Декатенация хроматид</w:t>
            </w:r>
          </w:p>
        </w:tc>
        <w:tc>
          <w:tcPr>
            <w:tcW w:w="32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не способна</w:t>
            </w:r>
          </w:p>
        </w:tc>
        <w:tc>
          <w:tcPr>
            <w:tcW w:w="32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способна</w:t>
            </w:r>
          </w:p>
        </w:tc>
      </w:tr>
      <w:tr>
        <w:tc>
          <w:tcPr>
            <w:tcW w:w="29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Гены у человека</w:t>
            </w:r>
          </w:p>
        </w:tc>
        <w:tc>
          <w:tcPr>
            <w:tcW w:w="32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TOP1, TOP1MT</w:t>
            </w:r>
          </w:p>
        </w:tc>
        <w:tc>
          <w:tcPr>
            <w:tcW w:w="32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TOP2A, TOP2B</w:t>
            </w:r>
          </w:p>
        </w:tc>
      </w:tr>
    </w:tbl>
    <w:p>
      <w:pPr>
        <w:spacing w:after="120"/>
      </w:pPr>
    </w:p>
    <w:p>
      <w:pPr>
        <w:pStyle w:val="Heading2"/>
        <w:jc w:val="left"/>
        <w:spacing w:before="200" w:after="160" w:line="360" w:lineRule="auto"/>
        <w:ind w:firstLine="709"/>
      </w:pPr>
      <w:r>
        <w:rPr>
          <w:rFonts w:ascii="Times New Roman" w:hAnsi="Times New Roman" w:cs="Times New Roman"/>
          <w:b/>
          <w:sz w:val="28"/>
          <w:szCs w:val="28"/>
        </w:rPr>
        <w:t xml:space="preserve">2.2 Структура и хромосомная локализация гена TOP2A</w:t>
      </w:r>
    </w:p>
    <w:p>
      <w:pPr>
        <w:jc w:val="both"/>
        <w:ind w:firstLine="709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Ген TOP2A человека расположен в длинном плече семнадцатой хромосомы, в области 17q21.2 [9]. Он имеет сложную экзон-интронную организацию, включающую порядка тридцати пяти экзонов и тридцати четырёх интронов, а его общая протяжённость составляет около тридцати тысяч пар нуклеотидов. Продукт гена — белок ДНК-топоизомераза II альфа — имеет молекулярную массу приблизительно 170 килодальтон. Высокая эволюционная консервативность последовательности подчёркивает фундаментальную значимость этого гена для жизнедеятельности эукариотической клетки [1, 7, 9].</w:t>
      </w:r>
    </w:p>
    <w:p>
      <w:pPr>
        <w:jc w:val="both"/>
        <w:ind w:firstLine="709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Примечательно, что ген TOP2A локализован в той же области хромосомы, что и онкоген ERBB2 (HER2), часто амплифицируемый при раке молочной железы. Близкое расположение этих генов имеет клиническое значение: совместная амплификация участка может одновременно затрагивать оба локуса, что учитывают при выборе схемы лечения [11, 15].</w:t>
      </w:r>
    </w:p>
    <w:tbl>
      <w:tblPr>
        <w:tblW w:w="9300" w:type="dxa"/>
        <w:jc w:val="center"/>
        <w:tbl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</w:tblBorders>
      </w:tblPr>
      <w:tblGrid>
        <w:gridCol w:w="9300"/>
      </w:tblGrid>
      <w:tr>
        <w:tc>
          <w:tcPr>
            <w:tcW w:w="9300" w:type="dxa"/>
            <w:shd w:val="clear" w:color="auto" w:fill="F2F2F2"/>
            <w:vAlign w:val="center"/>
          </w:tcPr>
          <w:p>
            <w:pPr>
              <w:jc w:val="center"/>
              <w:spacing w:after="20" w:line="276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[ МЕСТО ДЛЯ РИСУНКА 2.2 ]</w:t>
            </w:r>
          </w:p>
          <w:p>
            <w:pPr>
              <w:jc w:val="center"/>
              <w:spacing w:after="0" w:line="259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Вставьте изображение из проверенного источника.</w:t>
            </w:r>
          </w:p>
          <w:p>
            <w:pPr>
              <w:jc w:val="center"/>
              <w:spacing w:after="0" w:line="259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Рекомендуемый источник: база данных NCBI Gene / Ensembl (страница гена TOP2A), браузер генома UCSC</w:t>
            </w:r>
          </w:p>
        </w:tc>
      </w:tr>
    </w:tbl>
    <w:p>
      <w:pPr>
        <w:jc w:val="center"/>
        <w:spacing w:before="60" w:after="200" w:line="276" w:lineRule="auto"/>
      </w:pPr>
      <w:r>
        <w:rPr>
          <w:rFonts w:ascii="Times New Roman" w:hAnsi="Times New Roman" w:cs="Times New Roman"/>
          <w:sz w:val="24"/>
          <w:szCs w:val="24"/>
        </w:rPr>
        <w:t xml:space="preserve">Рисунок 2.2 — Цитогенетическая карта семнадцатой хромосомы человека с указанием локуса гена TOP2A (17q21.2)</w:t>
      </w:r>
    </w:p>
    <w:p>
      <w:pPr>
        <w:pStyle w:val="Heading2"/>
        <w:jc w:val="left"/>
        <w:spacing w:before="200" w:after="160" w:line="360" w:lineRule="auto"/>
        <w:ind w:firstLine="709"/>
      </w:pPr>
      <w:r>
        <w:rPr>
          <w:rFonts w:ascii="Times New Roman" w:hAnsi="Times New Roman" w:cs="Times New Roman"/>
          <w:b/>
          <w:sz w:val="28"/>
          <w:szCs w:val="28"/>
        </w:rPr>
        <w:t xml:space="preserve">2.3 Изоформы топоизомеразы II: альфа и бета</w:t>
      </w:r>
    </w:p>
    <w:p>
      <w:pPr>
        <w:jc w:val="both"/>
        <w:ind w:firstLine="709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У человека топоизомераза II представлена двумя изоформами, которые кодируются разными генами — TOP2A и TOP2B. Несмотря на значительное сходство аминокислотных последовательностей и общий каталитический механизм, изоформы различаются регуляцией и биологической ролью. Изоформа альфа тесно связана с делением клетки: её количество резко возрастает в фазах синтеза и митоза и падает в покоящихся клетках. Изоформа бета экспрессируется относительно постоянно, независимо от фазы цикла, и участвует прежде всего в транскрипции, в том числе в дифференцированных, неделящихся клетках [1, 7].</w:t>
      </w:r>
    </w:p>
    <w:p>
      <w:pPr>
        <w:jc w:val="both"/>
        <w:ind w:firstLine="709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Именно жёсткая привязка изоформы альфа к пролиферации делает ген TOP2A удобным маркером скорости деления клеток и обосновывает интерес к измерению уровня его матричной РНК в опухолевой ткани.</w:t>
      </w:r>
    </w:p>
    <w:p>
      <w:pPr>
        <w:pStyle w:val="Heading2"/>
        <w:jc w:val="left"/>
        <w:spacing w:before="200" w:after="160" w:line="360" w:lineRule="auto"/>
        <w:ind w:firstLine="709"/>
      </w:pPr>
      <w:r>
        <w:rPr>
          <w:rFonts w:ascii="Times New Roman" w:hAnsi="Times New Roman" w:cs="Times New Roman"/>
          <w:b/>
          <w:sz w:val="28"/>
          <w:szCs w:val="28"/>
        </w:rPr>
        <w:t xml:space="preserve">2.4 Каталитический механизм топоизомеразы II</w:t>
      </w:r>
    </w:p>
    <w:p>
      <w:pPr>
        <w:jc w:val="both"/>
        <w:ind w:firstLine="709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Фермент функционирует в виде гомодимера и осуществляет согласованный цикл, в ходе которого одна молекула двойной спирали (так называемый G-сегмент) временно разрезается по обеим цепям, а через образовавшийся проход переносится другой участок ДНК (T-сегмент). Последовательность событий включает связывание G-сегмента, захват T-сегмента, присоединение и гидролиз аденозинтрифосфата, внесение двухцепочечного разрыва с образованием ковалентного промежуточного комплекса фермент—ДНК, проведение T-сегмента через разрыв и последующее восстановление целостности цепей [7, 8].</w:t>
      </w:r>
    </w:p>
    <w:p>
      <w:pPr>
        <w:jc w:val="both"/>
        <w:ind w:firstLine="709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В момент разрыва тирозиновые остатки активного центра ковалентно связываются с 5′-концами разрезанных цепей, образуя так называемый расщепляемый комплекс. В норме этот комплекс существует кратковременно и быстро разрешается восстановлением связей. Однако именно он является мишенью ряда противоопухолевых препаратов, искусственно стабилизирующих разрыв (об этом — в разделе 2.6).</w:t>
      </w:r>
    </w:p>
    <w:tbl>
      <w:tblPr>
        <w:tblW w:w="9300" w:type="dxa"/>
        <w:jc w:val="center"/>
        <w:tbl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</w:tblBorders>
      </w:tblPr>
      <w:tblGrid>
        <w:gridCol w:w="9300"/>
      </w:tblGrid>
      <w:tr>
        <w:tc>
          <w:tcPr>
            <w:tcW w:w="9300" w:type="dxa"/>
            <w:shd w:val="clear" w:color="auto" w:fill="F2F2F2"/>
            <w:vAlign w:val="center"/>
          </w:tcPr>
          <w:p>
            <w:pPr>
              <w:jc w:val="center"/>
              <w:spacing w:after="20" w:line="276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[ МЕСТО ДЛЯ РИСУНКА 2.3 ]</w:t>
            </w:r>
          </w:p>
          <w:p>
            <w:pPr>
              <w:jc w:val="center"/>
              <w:spacing w:after="0" w:line="259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Вставьте изображение из проверенного источника.</w:t>
            </w:r>
          </w:p>
          <w:p>
            <w:pPr>
              <w:jc w:val="center"/>
              <w:spacing w:after="0" w:line="259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Рекомендуемый источник: обзорные статьи J. C. Wang (Nature Reviews Molecular Cell Biology) или J. M. Berger; иллюстрации механизма Топо II</w:t>
            </w:r>
          </w:p>
        </w:tc>
      </w:tr>
    </w:tbl>
    <w:p>
      <w:pPr>
        <w:jc w:val="center"/>
        <w:spacing w:before="60" w:after="200" w:line="276" w:lineRule="auto"/>
      </w:pPr>
      <w:r>
        <w:rPr>
          <w:rFonts w:ascii="Times New Roman" w:hAnsi="Times New Roman" w:cs="Times New Roman"/>
          <w:sz w:val="24"/>
          <w:szCs w:val="24"/>
        </w:rPr>
        <w:t xml:space="preserve">Рисунок 2.3 — Схема каталитического цикла топоизомеразы II: внесение двухцепочечного разрыва G-сегмента и проведение через него T-сегмента</w:t>
      </w:r>
    </w:p>
    <w:p>
      <w:pPr>
        <w:pStyle w:val="Heading2"/>
        <w:jc w:val="left"/>
        <w:spacing w:before="200" w:after="160" w:line="360" w:lineRule="auto"/>
        <w:ind w:firstLine="709"/>
      </w:pPr>
      <w:r>
        <w:rPr>
          <w:rFonts w:ascii="Times New Roman" w:hAnsi="Times New Roman" w:cs="Times New Roman"/>
          <w:b/>
          <w:sz w:val="28"/>
          <w:szCs w:val="28"/>
        </w:rPr>
        <w:t xml:space="preserve">2.5 Роль топоизомеразы II альфа в клеточном цикле</w:t>
      </w:r>
    </w:p>
    <w:p>
      <w:pPr>
        <w:jc w:val="both"/>
        <w:ind w:firstLine="709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Биологическая роль изоформы альфа особенно заметна на двух этапах клеточного цикла. В фазе синтеза фермент снимает положительное сверхскручивание, накапливающееся перед репликативной вилкой, и тем самым предотвращает её остановку, обеспечивая бесперебойное копирование генетического материала [7]. В фазе митоза топоизомераза II альфа необходима для конденсации хроматина и, что особенно важно, для разъединения (декатенации) переплетённых сестринских хроматид перед их расхождением в анафазе [8].</w:t>
      </w:r>
    </w:p>
    <w:p>
      <w:pPr>
        <w:jc w:val="both"/>
        <w:ind w:firstLine="709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Нарушение работы фермента на этих этапах приводит к невозможности корректного разделения хромосом, к их разрывам и перестройкам, а в конечном счёте — к остановке цикла и запуску апоптоза. Таким образом, топоизомераза II альфа выступает не просто вспомогательным ферментом, а критически важным компонентом аппарата деления клетки.</w:t>
      </w:r>
    </w:p>
    <w:tbl>
      <w:tblPr>
        <w:tblW w:w="9300" w:type="dxa"/>
        <w:jc w:val="center"/>
        <w:tbl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</w:tblBorders>
      </w:tblPr>
      <w:tblGrid>
        <w:gridCol w:w="9300"/>
      </w:tblGrid>
      <w:tr>
        <w:tc>
          <w:tcPr>
            <w:tcW w:w="9300" w:type="dxa"/>
            <w:shd w:val="clear" w:color="auto" w:fill="F2F2F2"/>
            <w:vAlign w:val="center"/>
          </w:tcPr>
          <w:p>
            <w:pPr>
              <w:jc w:val="center"/>
              <w:spacing w:after="20" w:line="276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[ МЕСТО ДЛЯ РИСУНКА 2.4 ]</w:t>
            </w:r>
          </w:p>
          <w:p>
            <w:pPr>
              <w:jc w:val="center"/>
              <w:spacing w:after="0" w:line="259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Вставьте изображение из проверенного источника.</w:t>
            </w:r>
          </w:p>
          <w:p>
            <w:pPr>
              <w:jc w:val="center"/>
              <w:spacing w:after="0" w:line="259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Рекомендуемый источник: учебные иллюстрации клеточного цикла; обзоры по декатенации хроматид (например, Champoux, Annual Review of Biochemistry)</w:t>
            </w:r>
          </w:p>
        </w:tc>
      </w:tr>
    </w:tbl>
    <w:p>
      <w:pPr>
        <w:jc w:val="center"/>
        <w:spacing w:before="60" w:after="200" w:line="276" w:lineRule="auto"/>
      </w:pPr>
      <w:r>
        <w:rPr>
          <w:rFonts w:ascii="Times New Roman" w:hAnsi="Times New Roman" w:cs="Times New Roman"/>
          <w:sz w:val="24"/>
          <w:szCs w:val="24"/>
        </w:rPr>
        <w:t xml:space="preserve">Рисунок 2.4 — Роль топоизомеразы II альфа в декатенации сестринских хроматид в фазе митоза</w:t>
      </w:r>
    </w:p>
    <w:p>
      <w:pPr>
        <w:pStyle w:val="Heading2"/>
        <w:jc w:val="left"/>
        <w:spacing w:before="200" w:after="160" w:line="360" w:lineRule="auto"/>
        <w:ind w:firstLine="709"/>
      </w:pPr>
      <w:r>
        <w:rPr>
          <w:rFonts w:ascii="Times New Roman" w:hAnsi="Times New Roman" w:cs="Times New Roman"/>
          <w:b/>
          <w:sz w:val="28"/>
          <w:szCs w:val="28"/>
        </w:rPr>
        <w:t xml:space="preserve">2.6 Топоизомераза II как мишень противоопухолевой терапии</w:t>
      </w:r>
    </w:p>
    <w:p>
      <w:pPr>
        <w:jc w:val="both"/>
        <w:ind w:firstLine="709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Высокая активность гена TOP2A — характерная черта быстро пролиферирующих опухолей. Это свойство используется в химиотерапии: ряд широко применяемых препаратов направленно воздействует именно на топоизомеразу II. По механизму действия их разделяют на две группы [2, 11].</w:t>
      </w:r>
    </w:p>
    <w:p>
      <w:pPr>
        <w:pStyle w:val="ListParagraph"/>
        <w:numPr>
          <w:ilvl w:val="0"/>
          <w:numId w:val="1"/>
        </w:numPr>
        <w:jc w:val="both"/>
        <w:spacing w:after="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Яды топоизомеразы. </w:t>
      </w:r>
      <w:r>
        <w:rPr>
          <w:rFonts w:ascii="Times New Roman" w:hAnsi="Times New Roman" w:cs="Times New Roman"/>
          <w:sz w:val="28"/>
          <w:szCs w:val="28"/>
        </w:rPr>
        <w:t xml:space="preserve">Антрациклиновые антибиотики (доксорубицин, даунорубицин) и этопозид стабилизируют расщепляемый комплекс фермент—ДНК, препятствуя восстановлению разрыва. В результате в геноме накапливаются двухцепочечные разрывы, что для активно делящейся клетки оказывается летальным.</w:t>
      </w:r>
    </w:p>
    <w:p>
      <w:pPr>
        <w:pStyle w:val="ListParagraph"/>
        <w:numPr>
          <w:ilvl w:val="0"/>
          <w:numId w:val="1"/>
        </w:numPr>
        <w:jc w:val="both"/>
        <w:spacing w:after="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Каталитические ингибиторы. </w:t>
      </w:r>
      <w:r>
        <w:rPr>
          <w:rFonts w:ascii="Times New Roman" w:hAnsi="Times New Roman" w:cs="Times New Roman"/>
          <w:sz w:val="28"/>
          <w:szCs w:val="28"/>
        </w:rPr>
        <w:t xml:space="preserve">Эти соединения блокируют ферментативный цикл на других стадиях, не стабилизируя разрыв, и применяются реже.</w:t>
      </w:r>
    </w:p>
    <w:p>
      <w:pPr>
        <w:jc w:val="both"/>
        <w:ind w:firstLine="709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Поскольку мишенью лечения является сам фермент, уровень его экспрессии напрямую влияет на эффективность терапии. Высокое содержание топоизомеразы II альфа повышает чувствительность опухоли к ядам фермента, тогда как снижение экспрессии способно приводить к лекарственной устойчивости из-за уменьшения числа молекул-мишеней [2, 11, 15]. Это объясняет практический интерес к количественному измерению матричной РНК TOP2A до начала лечения.</w:t>
      </w:r>
    </w:p>
    <w:tbl>
      <w:tblPr>
        <w:tblW w:w="9300" w:type="dxa"/>
        <w:jc w:val="center"/>
        <w:tbl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</w:tblBorders>
      </w:tblPr>
      <w:tblGrid>
        <w:gridCol w:w="9300"/>
      </w:tblGrid>
      <w:tr>
        <w:tc>
          <w:tcPr>
            <w:tcW w:w="9300" w:type="dxa"/>
            <w:shd w:val="clear" w:color="auto" w:fill="F2F2F2"/>
            <w:vAlign w:val="center"/>
          </w:tcPr>
          <w:p>
            <w:pPr>
              <w:jc w:val="center"/>
              <w:spacing w:after="20" w:line="276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[ МЕСТО ДЛЯ РИСУНКА 2.5 ]</w:t>
            </w:r>
          </w:p>
          <w:p>
            <w:pPr>
              <w:jc w:val="center"/>
              <w:spacing w:after="0" w:line="259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Вставьте изображение из проверенного источника.</w:t>
            </w:r>
          </w:p>
          <w:p>
            <w:pPr>
              <w:jc w:val="center"/>
              <w:spacing w:after="0" w:line="259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Рекомендуемый источник: Банк данных белковых структур (PDB) — структуры комплексов Топо II с этопозидом/доксорубицином; визуализация в PyMOL</w:t>
            </w:r>
          </w:p>
        </w:tc>
      </w:tr>
    </w:tbl>
    <w:p>
      <w:pPr>
        <w:jc w:val="center"/>
        <w:spacing w:before="60" w:after="200" w:line="276" w:lineRule="auto"/>
      </w:pPr>
      <w:r>
        <w:rPr>
          <w:rFonts w:ascii="Times New Roman" w:hAnsi="Times New Roman" w:cs="Times New Roman"/>
          <w:sz w:val="24"/>
          <w:szCs w:val="24"/>
        </w:rPr>
        <w:t xml:space="preserve">Рисунок 2.5 — Молекулярная модель взаимодействия антрациклинового антибиотика с комплексом ДНК—топоизомераза II</w:t>
      </w:r>
    </w:p>
    <w:p>
      <w:pPr>
        <w:pStyle w:val="Heading2"/>
        <w:jc w:val="left"/>
        <w:spacing w:before="200" w:after="160" w:line="360" w:lineRule="auto"/>
        <w:ind w:firstLine="709"/>
      </w:pPr>
      <w:r>
        <w:rPr>
          <w:rFonts w:ascii="Times New Roman" w:hAnsi="Times New Roman" w:cs="Times New Roman"/>
          <w:b/>
          <w:sz w:val="28"/>
          <w:szCs w:val="28"/>
        </w:rPr>
        <w:t xml:space="preserve">2.7 Экспрессия гена TOP2A в норме и при патологии</w:t>
      </w:r>
    </w:p>
    <w:p>
      <w:pPr>
        <w:jc w:val="both"/>
        <w:ind w:firstLine="709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Уровень экспрессии гена TOP2A жёстко связан с пролиферативным статусом ткани. В здоровом организме высокая активность гена наблюдается только в постоянно обновляющихся популяциях клеток — в базальном слое эпителия, в кроветворной ткани костного мозга, в герминативных центрах. В клетках, находящихся в состоянии покоя (фаза G0), экспрессия практически не определяется [11].</w:t>
      </w:r>
    </w:p>
    <w:p>
      <w:pPr>
        <w:jc w:val="both"/>
        <w:ind w:firstLine="709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При злокачественной трансформации гиперэкспрессия TOP2A нередко обусловлена амплификацией гена либо нарушением транскрипционного контроля. Повышенный уровень матричной РНК этого гена выявляют при раке молочной железы, лёгкого и прямой кишки; он коррелирует с высокой степенью злокачественности и активной пролиферацией [11, 15]. В клинической практике уровень белка топоизомеразы II альфа нередко оценивают иммуногистохимически: в опухолевой ткани наблюдается интенсивное ядерное окрашивание, тогда как в нормальной ткани окрашивание слабое или отсутствует.</w:t>
      </w:r>
    </w:p>
    <w:tbl>
      <w:tblPr>
        <w:tblW w:w="9300" w:type="dxa"/>
        <w:jc w:val="center"/>
        <w:tbl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</w:tblBorders>
      </w:tblPr>
      <w:tblGrid>
        <w:gridCol w:w="9300"/>
      </w:tblGrid>
      <w:tr>
        <w:tc>
          <w:tcPr>
            <w:tcW w:w="9300" w:type="dxa"/>
            <w:shd w:val="clear" w:color="auto" w:fill="F2F2F2"/>
            <w:vAlign w:val="center"/>
          </w:tcPr>
          <w:p>
            <w:pPr>
              <w:jc w:val="center"/>
              <w:spacing w:after="20" w:line="276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[ МЕСТО ДЛЯ РИСУНКА 2.6 ]</w:t>
            </w:r>
          </w:p>
          <w:p>
            <w:pPr>
              <w:jc w:val="center"/>
              <w:spacing w:after="0" w:line="259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Вставьте изображение из проверенного источника.</w:t>
            </w:r>
          </w:p>
          <w:p>
            <w:pPr>
              <w:jc w:val="center"/>
              <w:spacing w:after="0" w:line="259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Рекомендуемый источник: атласы экспрессии белков (Human Protein Atlas, раздел TOP2A — патология) либо собственные микрофотографии</w:t>
            </w:r>
          </w:p>
        </w:tc>
      </w:tr>
    </w:tbl>
    <w:p>
      <w:pPr>
        <w:jc w:val="center"/>
        <w:spacing w:before="60" w:after="200" w:line="276" w:lineRule="auto"/>
      </w:pPr>
      <w:r>
        <w:rPr>
          <w:rFonts w:ascii="Times New Roman" w:hAnsi="Times New Roman" w:cs="Times New Roman"/>
          <w:sz w:val="24"/>
          <w:szCs w:val="24"/>
        </w:rPr>
        <w:t xml:space="preserve">Рисунок 2.6 — Сравнение экспрессии белка TOP2A в нормальной и опухолевой тканях (иммуногистохимическое окрашивание)</w:t>
      </w:r>
    </w:p>
    <w:p>
      <w:pPr>
        <w:jc w:val="both"/>
        <w:ind w:firstLine="709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Сопоставление нормальной и опухолевой ткани на иммуногистохимических препаратах наглядно демонстрирует разницу: в опухоли ядра клеток интенсивно окрашены за счёт избытка фермента, необходимого для постоянного расплетания ДНК при быстром делении, тогда как в гистологически спокойной ткани накопление белка не выявляется. Аналогичная картина характерна и для других маркеров нарушенной регуляции клеточного цикла, что подтверждает связь гиперэкспрессии TOP2A с агрессивным течением заболевания [11, 15].</w:t>
      </w:r>
    </w:p>
    <w:p>
      <w:pPr>
        <w:pStyle w:val="Heading2"/>
        <w:jc w:val="left"/>
        <w:spacing w:before="200" w:after="160" w:line="360" w:lineRule="auto"/>
        <w:ind w:firstLine="709"/>
      </w:pPr>
      <w:r>
        <w:rPr>
          <w:rFonts w:ascii="Times New Roman" w:hAnsi="Times New Roman" w:cs="Times New Roman"/>
          <w:b/>
          <w:sz w:val="28"/>
          <w:szCs w:val="28"/>
        </w:rPr>
        <w:t xml:space="preserve">2.8 Ген TOP2A как прогностический и предсказательный биомаркер</w:t>
      </w:r>
    </w:p>
    <w:p>
      <w:pPr>
        <w:jc w:val="both"/>
        <w:ind w:firstLine="709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Совокупность приведённых данных позволяет рассматривать TOP2A как биомаркер двойного назначения. Как прогностический маркер он характеризует скорость роста опухоли и связан со степенью её злокачественности. Как предсказательный маркер он отражает вероятный ответ на терапию ядами топоизомеразы: статус гена (амплификация, делеция или нормальное число копий) и уровень его экспрессии помогают индивидуализировать выбор схемы лечения [2, 11, 15]. Именно поэтому надёжное количественное измерение матричной РНК TOP2A методом полимеразной цепной реакции имеет столь большое практическое значение и служит связующим звеном с третьей главой настоящей работы.</w:t>
      </w:r>
    </w:p>
    <w:p>
      <w:pPr>
        <w:pStyle w:val="Heading1"/>
        <w:pageBreakBefore/>
        <w:jc w:val="center"/>
        <w:spacing w:before="240" w:after="240" w:line="360" w:lineRule="auto"/>
      </w:pPr>
      <w:r>
        <w:rPr>
          <w:rFonts w:ascii="Times New Roman" w:hAnsi="Times New Roman" w:cs="Times New Roman"/>
          <w:b/>
          <w:sz w:val="32"/>
          <w:szCs w:val="32"/>
        </w:rPr>
        <w:t xml:space="preserve">ГЛАВА 3. ПОЛИМЕРАЗНАЯ ЦЕПНАЯ РЕАКЦИЯ И АНАЛИЗ ЭКСПРЕССИИ ГЕНОВ</w:t>
      </w:r>
    </w:p>
    <w:p>
      <w:pPr>
        <w:pStyle w:val="Heading2"/>
        <w:jc w:val="left"/>
        <w:spacing w:before="200" w:after="160" w:line="360" w:lineRule="auto"/>
        <w:ind w:firstLine="709"/>
      </w:pPr>
      <w:r>
        <w:rPr>
          <w:rFonts w:ascii="Times New Roman" w:hAnsi="Times New Roman" w:cs="Times New Roman"/>
          <w:b/>
          <w:sz w:val="28"/>
          <w:szCs w:val="28"/>
        </w:rPr>
        <w:t xml:space="preserve">3.1 История создания метода и его значение для генетики</w:t>
      </w:r>
    </w:p>
    <w:p>
      <w:pPr>
        <w:jc w:val="both"/>
        <w:ind w:firstLine="709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Полимеразная цепная реакция была предложена К. Мюллисом в 1983 году и стала одним из самых значимых методических достижений молекулярной биологии двадцатого века. Идея метода состоит в многократном ферментативном копировании заранее выбранного участка ДНК, благодаря чему его количество увеличивается в геометрической прогрессии — за несколько десятков циклов концентрация целевого фрагмента возрастает в миллиарды раз [3, 14]. Это позволило обнаруживать и анализировать даже единичные молекулы нуклеиновых кислот, что прежде было невозможным.</w:t>
      </w:r>
    </w:p>
    <w:p>
      <w:pPr>
        <w:jc w:val="both"/>
        <w:ind w:firstLine="709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Решающим шагом, обеспечившим широкое распространение метода, стало применение термостабильной ДНК-полимеразы, выделенной из термофильных микроорганизмов. Такой фермент выдерживает многократное нагревание до температур денатурации ДНК и не требует добавления новой порции после каждого цикла, что сделало возможной полную автоматизацию реакции в программируемом термоциклере [3]. Для исследований гена TOP2A полимеразная цепная реакция служит основным инструментом, позволяющим выявить и количественно оценить даже небольшое содержание матричной РНК в образце ткани.</w:t>
      </w:r>
    </w:p>
    <w:p>
      <w:pPr>
        <w:pStyle w:val="Heading2"/>
        <w:jc w:val="left"/>
        <w:spacing w:before="200" w:after="160" w:line="360" w:lineRule="auto"/>
        <w:ind w:firstLine="709"/>
      </w:pPr>
      <w:r>
        <w:rPr>
          <w:rFonts w:ascii="Times New Roman" w:hAnsi="Times New Roman" w:cs="Times New Roman"/>
          <w:b/>
          <w:sz w:val="28"/>
          <w:szCs w:val="28"/>
        </w:rPr>
        <w:t xml:space="preserve">3.2 Компоненты реакционной смеси</w:t>
      </w:r>
    </w:p>
    <w:p>
      <w:pPr>
        <w:jc w:val="both"/>
        <w:ind w:firstLine="709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Для проведения реакции необходим набор обязательных компонентов, каждый из которых выполняет определённую функцию. Их состав и назначение приведены в таблице 3.1.</w:t>
      </w:r>
    </w:p>
    <w:p>
      <w:pPr>
        <w:jc w:val="center"/>
        <w:spacing w:before="60" w:after="200" w:line="276" w:lineRule="auto"/>
      </w:pPr>
      <w:r>
        <w:rPr>
          <w:rFonts w:ascii="Times New Roman" w:hAnsi="Times New Roman" w:cs="Times New Roman"/>
          <w:sz w:val="24"/>
          <w:szCs w:val="24"/>
        </w:rPr>
        <w:t xml:space="preserve">Рисунок 3.1 — Основные компоненты реакционной смеси для ПЦР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00"/>
        <w:gridCol w:w="5300"/>
      </w:tblGrid>
      <w:tr>
        <w:tc>
          <w:tcPr>
            <w:tcW w:w="4000" w:type="dxa"/>
            <w:shd w:val="clear" w:color="auto" w:fill="D9E2F3"/>
            <w:vAlign w:val="center"/>
          </w:tcPr>
          <w:p>
            <w:pPr>
              <w:jc w:val="center"/>
              <w:spacing w:after="40" w:line="276" w:lineRule="auto"/>
            </w:pPr>
            <w:r>
              <w:rPr>
                <w:rFonts w:ascii="Times New Roman" w:hAnsi="Times New Roman" w:cs="Times New Roman"/>
                <w:b/>
                <w:sz w:val="23"/>
                <w:szCs w:val="23"/>
              </w:rPr>
              <w:t xml:space="preserve">Компонент</w:t>
            </w:r>
          </w:p>
        </w:tc>
        <w:tc>
          <w:tcPr>
            <w:tcW w:w="5300" w:type="dxa"/>
            <w:shd w:val="clear" w:color="auto" w:fill="D9E2F3"/>
            <w:vAlign w:val="center"/>
          </w:tcPr>
          <w:p>
            <w:pPr>
              <w:jc w:val="center"/>
              <w:spacing w:after="40" w:line="276" w:lineRule="auto"/>
            </w:pPr>
            <w:r>
              <w:rPr>
                <w:rFonts w:ascii="Times New Roman" w:hAnsi="Times New Roman" w:cs="Times New Roman"/>
                <w:b/>
                <w:sz w:val="23"/>
                <w:szCs w:val="23"/>
              </w:rPr>
              <w:t xml:space="preserve">Назначение</w:t>
            </w:r>
          </w:p>
        </w:tc>
      </w:tr>
      <w:tr>
        <w:tc>
          <w:tcPr>
            <w:tcW w:w="40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Матрица (ДНК или кДНК)</w:t>
            </w:r>
          </w:p>
        </w:tc>
        <w:tc>
          <w:tcPr>
            <w:tcW w:w="53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исходная последовательность для копирования</w:t>
            </w:r>
          </w:p>
        </w:tc>
      </w:tr>
      <w:tr>
        <w:tc>
          <w:tcPr>
            <w:tcW w:w="40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Пара праймеров</w:t>
            </w:r>
          </w:p>
        </w:tc>
        <w:tc>
          <w:tcPr>
            <w:tcW w:w="53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задают границы амплифицируемого участка</w:t>
            </w:r>
          </w:p>
        </w:tc>
      </w:tr>
      <w:tr>
        <w:tc>
          <w:tcPr>
            <w:tcW w:w="40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Термостабильная ДНК-полимераза</w:t>
            </w:r>
          </w:p>
        </w:tc>
        <w:tc>
          <w:tcPr>
            <w:tcW w:w="53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достраивает новую цепь ДНК</w:t>
            </w:r>
          </w:p>
        </w:tc>
      </w:tr>
      <w:tr>
        <w:tc>
          <w:tcPr>
            <w:tcW w:w="40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Смесь dNTP</w:t>
            </w:r>
          </w:p>
        </w:tc>
        <w:tc>
          <w:tcPr>
            <w:tcW w:w="53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строительные блоки для синтеза цепи</w:t>
            </w:r>
          </w:p>
        </w:tc>
      </w:tr>
      <w:tr>
        <w:tc>
          <w:tcPr>
            <w:tcW w:w="40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Ионы магния (Mg2+)</w:t>
            </w:r>
          </w:p>
        </w:tc>
        <w:tc>
          <w:tcPr>
            <w:tcW w:w="53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кофактор, необходимый для работы фермента</w:t>
            </w:r>
          </w:p>
        </w:tc>
      </w:tr>
      <w:tr>
        <w:tc>
          <w:tcPr>
            <w:tcW w:w="40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Буферный раствор</w:t>
            </w:r>
          </w:p>
        </w:tc>
        <w:tc>
          <w:tcPr>
            <w:tcW w:w="53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поддержание оптимального pH и ионной силы</w:t>
            </w:r>
          </w:p>
        </w:tc>
      </w:tr>
    </w:tbl>
    <w:p>
      <w:pPr>
        <w:spacing w:after="120"/>
      </w:pPr>
    </w:p>
    <w:p>
      <w:pPr>
        <w:jc w:val="both"/>
        <w:ind w:firstLine="709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Концентрация ионов магния заметно влияет на специфичность и эффективность реакции, поэтому при разработке тест-системы её тщательно оптимизируют. Избыток магния повышает выход, но может приводить к неспецифическому отжигу праймеров, тогда как его недостаток снижает активность полимеразы [13].</w:t>
      </w:r>
    </w:p>
    <w:p>
      <w:pPr>
        <w:pStyle w:val="Heading2"/>
        <w:jc w:val="left"/>
        <w:spacing w:before="200" w:after="160" w:line="360" w:lineRule="auto"/>
        <w:ind w:firstLine="709"/>
      </w:pPr>
      <w:r>
        <w:rPr>
          <w:rFonts w:ascii="Times New Roman" w:hAnsi="Times New Roman" w:cs="Times New Roman"/>
          <w:b/>
          <w:sz w:val="28"/>
          <w:szCs w:val="28"/>
        </w:rPr>
        <w:t xml:space="preserve">3.3 Этапы термического цикла</w:t>
      </w:r>
    </w:p>
    <w:p>
      <w:pPr>
        <w:jc w:val="both"/>
        <w:ind w:firstLine="709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Амплификация целевого фрагмента, в том числе участка гена TOP2A, достигается за счёт многократного повторения температурного цикла. Каждый цикл состоит из трёх фаз, различающихся температурой [3, 13].</w:t>
      </w:r>
    </w:p>
    <w:p>
      <w:pPr>
        <w:jc w:val="both"/>
        <w:ind w:firstLine="709"/>
        <w:spacing w:after="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Денатурация. </w:t>
      </w:r>
      <w:r>
        <w:rPr>
          <w:rFonts w:ascii="Times New Roman" w:hAnsi="Times New Roman" w:cs="Times New Roman"/>
          <w:sz w:val="28"/>
          <w:szCs w:val="28"/>
        </w:rPr>
        <w:t xml:space="preserve">Реакционную смесь нагревают до 94–96 °C. При такой температуре водородные связи между комплементарными основаниями разрываются, и двойная спираль расходится на две одиночные цепи, каждая из которых далее служит матрицей.</w:t>
      </w:r>
    </w:p>
    <w:p>
      <w:pPr>
        <w:jc w:val="both"/>
        <w:ind w:firstLine="709"/>
        <w:spacing w:after="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Отжиг праймеров. </w:t>
      </w:r>
      <w:r>
        <w:rPr>
          <w:rFonts w:ascii="Times New Roman" w:hAnsi="Times New Roman" w:cs="Times New Roman"/>
          <w:sz w:val="28"/>
          <w:szCs w:val="28"/>
        </w:rPr>
        <w:t xml:space="preserve">Температуру понижают, как правило, до 55–65 °C. В этих условиях праймеры комплементарно связываются со своими участками на одноцепочечной матрице. Температуру отжига подбирают исходя из температуры плавления праймеров: слишком высокая температура снижает выход, слишком низкая — приводит к неспецифическому связыванию [13, 17].</w:t>
      </w:r>
    </w:p>
    <w:p>
      <w:pPr>
        <w:jc w:val="both"/>
        <w:ind w:firstLine="709"/>
        <w:spacing w:after="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Элонгация (синтез). </w:t>
      </w:r>
      <w:r>
        <w:rPr>
          <w:rFonts w:ascii="Times New Roman" w:hAnsi="Times New Roman" w:cs="Times New Roman"/>
          <w:sz w:val="28"/>
          <w:szCs w:val="28"/>
        </w:rPr>
        <w:t xml:space="preserve">При температуре около 72 °C, оптимальной для термостабильной полимеразы, фермент достраивает новую цепь от 3′-конца праймера, присоединяя нуклеотиды в соответствии с матрицей. За один цикл число копий целевого фрагмента примерно удваивается.</w:t>
      </w:r>
    </w:p>
    <w:tbl>
      <w:tblPr>
        <w:tblW w:w="9300" w:type="dxa"/>
        <w:jc w:val="center"/>
        <w:tbl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</w:tblBorders>
      </w:tblPr>
      <w:tblGrid>
        <w:gridCol w:w="9300"/>
      </w:tblGrid>
      <w:tr>
        <w:tc>
          <w:tcPr>
            <w:tcW w:w="9300" w:type="dxa"/>
            <w:shd w:val="clear" w:color="auto" w:fill="F2DCDB"/>
            <w:vAlign w:val="center"/>
          </w:tcPr>
          <w:p>
            <w:pPr>
              <w:jc w:val="center"/>
              <w:spacing w:after="20" w:line="276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ДЕНАТУРАЦИЯ — 94–96 °C</w:t>
            </w:r>
          </w:p>
          <w:p>
            <w:pPr>
              <w:jc w:val="center"/>
              <w:spacing w:after="0" w:line="259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разрыв водородных связей</w:t>
            </w:r>
          </w:p>
          <w:p>
            <w:pPr>
              <w:jc w:val="center"/>
              <w:spacing w:after="0" w:line="259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двойная спираль → две одиночные цепи</w:t>
            </w:r>
          </w:p>
        </w:tc>
      </w:tr>
    </w:tbl>
    <w:p>
      <w:pPr>
        <w:jc w:val="center"/>
        <w:spacing w:after="0" w:before="0"/>
      </w:pPr>
      <w:r>
        <w:rPr>
          <w:rFonts w:ascii="Times New Roman" w:hAnsi="Times New Roman" w:cs="Times New Roman"/>
          <w:b/>
          <w:sz w:val="24"/>
          <w:szCs w:val="24"/>
        </w:rPr>
        <w:t xml:space="preserve">↓</w:t>
      </w:r>
    </w:p>
    <w:tbl>
      <w:tblPr>
        <w:tblW w:w="9300" w:type="dxa"/>
        <w:jc w:val="center"/>
        <w:tbl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</w:tblBorders>
      </w:tblPr>
      <w:tblGrid>
        <w:gridCol w:w="9300"/>
      </w:tblGrid>
      <w:tr>
        <w:tc>
          <w:tcPr>
            <w:tcW w:w="9300" w:type="dxa"/>
            <w:shd w:val="clear" w:color="auto" w:fill="EBF1DE"/>
            <w:vAlign w:val="center"/>
          </w:tcPr>
          <w:p>
            <w:pPr>
              <w:jc w:val="center"/>
              <w:spacing w:after="20" w:line="276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ОТЖИГ ПРАЙМЕРОВ — 55–65 °C</w:t>
            </w:r>
          </w:p>
          <w:p>
            <w:pPr>
              <w:jc w:val="center"/>
              <w:spacing w:after="0" w:line="259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праймеры связываются с матрицей</w:t>
            </w:r>
          </w:p>
          <w:p>
            <w:pPr>
              <w:jc w:val="center"/>
              <w:spacing w:after="0" w:line="259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температура зависит от Tm праймеров</w:t>
            </w:r>
          </w:p>
        </w:tc>
      </w:tr>
    </w:tbl>
    <w:p>
      <w:pPr>
        <w:jc w:val="center"/>
        <w:spacing w:after="0" w:before="0"/>
      </w:pPr>
      <w:r>
        <w:rPr>
          <w:rFonts w:ascii="Times New Roman" w:hAnsi="Times New Roman" w:cs="Times New Roman"/>
          <w:b/>
          <w:sz w:val="24"/>
          <w:szCs w:val="24"/>
        </w:rPr>
        <w:t xml:space="preserve">↓</w:t>
      </w:r>
    </w:p>
    <w:tbl>
      <w:tblPr>
        <w:tblW w:w="9300" w:type="dxa"/>
        <w:jc w:val="center"/>
        <w:tbl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</w:tblBorders>
      </w:tblPr>
      <w:tblGrid>
        <w:gridCol w:w="9300"/>
      </w:tblGrid>
      <w:tr>
        <w:tc>
          <w:tcPr>
            <w:tcW w:w="9300" w:type="dxa"/>
            <w:shd w:val="clear" w:color="auto" w:fill="DCE6F1"/>
            <w:vAlign w:val="center"/>
          </w:tcPr>
          <w:p>
            <w:pPr>
              <w:jc w:val="center"/>
              <w:spacing w:after="20" w:line="276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ЭЛОНГАЦИЯ — ~72 °C</w:t>
            </w:r>
          </w:p>
          <w:p>
            <w:pPr>
              <w:jc w:val="center"/>
              <w:spacing w:after="0" w:line="259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полимераза достраивает новую цепь</w:t>
            </w:r>
          </w:p>
          <w:p>
            <w:pPr>
              <w:jc w:val="center"/>
              <w:spacing w:after="0" w:line="259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число копий удваивается</w:t>
            </w:r>
          </w:p>
        </w:tc>
      </w:tr>
    </w:tbl>
    <w:p>
      <w:pPr>
        <w:jc w:val="center"/>
        <w:spacing w:after="0" w:before="0"/>
      </w:pPr>
      <w:r>
        <w:rPr>
          <w:rFonts w:ascii="Times New Roman" w:hAnsi="Times New Roman" w:cs="Times New Roman"/>
          <w:b/>
          <w:sz w:val="24"/>
          <w:szCs w:val="24"/>
        </w:rPr>
        <w:t xml:space="preserve">↓ повтор 30–40 циклов → экспоненциальное накопление</w:t>
      </w:r>
    </w:p>
    <w:p>
      <w:pPr>
        <w:jc w:val="center"/>
        <w:spacing w:before="60" w:after="200" w:line="276" w:lineRule="auto"/>
      </w:pPr>
      <w:r>
        <w:rPr>
          <w:rFonts w:ascii="Times New Roman" w:hAnsi="Times New Roman" w:cs="Times New Roman"/>
          <w:sz w:val="24"/>
          <w:szCs w:val="24"/>
        </w:rPr>
        <w:t xml:space="preserve">Рисунок 3.2 — Температурные стадии одного цикла полимеразной цепной реакции</w:t>
      </w:r>
    </w:p>
    <w:p>
      <w:pPr>
        <w:jc w:val="both"/>
        <w:ind w:firstLine="709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Цикл повторяют 30–40 раз. В первые циклы накопление продукта идёт экспоненциально, однако по мере расходования реагентов и накопления продукта реакция выходит на плато. Это обстоятельство принципиально важно для количественного анализа: достоверную оценку исходного количества матрицы дают именно ранние, экспоненциальные циклы.</w:t>
      </w:r>
    </w:p>
    <w:p>
      <w:pPr>
        <w:pStyle w:val="Heading2"/>
        <w:jc w:val="left"/>
        <w:spacing w:before="200" w:after="160" w:line="360" w:lineRule="auto"/>
        <w:ind w:firstLine="709"/>
      </w:pPr>
      <w:r>
        <w:rPr>
          <w:rFonts w:ascii="Times New Roman" w:hAnsi="Times New Roman" w:cs="Times New Roman"/>
          <w:b/>
          <w:sz w:val="28"/>
          <w:szCs w:val="28"/>
        </w:rPr>
        <w:t xml:space="preserve">3.4 Разновидности полимеразной цепной реакции</w:t>
      </w:r>
    </w:p>
    <w:p>
      <w:pPr>
        <w:jc w:val="both"/>
        <w:ind w:firstLine="709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Для решения различных задач разработан ряд модификаций метода. Применительно к анализу экспрессии гена TOP2A наибольшее значение имеют следующие варианты.</w:t>
      </w:r>
    </w:p>
    <w:p>
      <w:pPr>
        <w:pStyle w:val="ListParagraph"/>
        <w:numPr>
          <w:ilvl w:val="0"/>
          <w:numId w:val="1"/>
        </w:numPr>
        <w:jc w:val="both"/>
        <w:spacing w:after="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ПЦР с обратной транскрипцией (ОТ-ПЦР). </w:t>
      </w:r>
      <w:r>
        <w:rPr>
          <w:rFonts w:ascii="Times New Roman" w:hAnsi="Times New Roman" w:cs="Times New Roman"/>
          <w:sz w:val="28"/>
          <w:szCs w:val="28"/>
        </w:rPr>
        <w:t xml:space="preserve">Информация об экспрессии гена содержится в матричной РНК, тогда как полимераза работает с ДНК. Поэтому сначала на матрице РНК с помощью фермента обратной транскриптазы синтезируют комплементарную ДНК, которая затем служит матрицей для обычной амплификации [4, 12].</w:t>
      </w:r>
    </w:p>
    <w:p>
      <w:pPr>
        <w:pStyle w:val="ListParagraph"/>
        <w:numPr>
          <w:ilvl w:val="0"/>
          <w:numId w:val="1"/>
        </w:numPr>
        <w:jc w:val="both"/>
        <w:spacing w:after="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ПЦР в реальном времени (количественная ПЦР). </w:t>
      </w:r>
      <w:r>
        <w:rPr>
          <w:rFonts w:ascii="Times New Roman" w:hAnsi="Times New Roman" w:cs="Times New Roman"/>
          <w:sz w:val="28"/>
          <w:szCs w:val="28"/>
        </w:rPr>
        <w:t xml:space="preserve">Накопление продукта регистрируют непосредственно по ходу реакции с помощью флуоресцентных красителей или зондов. Это позволяет не просто установить факт наличия последовательности, но и точно измерить её исходное количество [4, 16].</w:t>
      </w:r>
    </w:p>
    <w:p>
      <w:pPr>
        <w:pStyle w:val="ListParagraph"/>
        <w:numPr>
          <w:ilvl w:val="0"/>
          <w:numId w:val="1"/>
        </w:numPr>
        <w:jc w:val="both"/>
        <w:spacing w:after="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Цифровая капельная ПЦР. </w:t>
      </w:r>
      <w:r>
        <w:rPr>
          <w:rFonts w:ascii="Times New Roman" w:hAnsi="Times New Roman" w:cs="Times New Roman"/>
          <w:sz w:val="28"/>
          <w:szCs w:val="28"/>
        </w:rPr>
        <w:t xml:space="preserve">Реакционную смесь разделяют на тысячи микрокапель, в каждой из которых реакция идёт независимо. Подсчёт положительных капель даёт абсолютное число молекул матрицы без построения калибровочной кривой; метод отличается высокой чувствительностью.</w:t>
      </w:r>
    </w:p>
    <w:p>
      <w:pPr>
        <w:pStyle w:val="Heading2"/>
        <w:jc w:val="left"/>
        <w:spacing w:before="200" w:after="160" w:line="360" w:lineRule="auto"/>
        <w:ind w:firstLine="709"/>
      </w:pPr>
      <w:r>
        <w:rPr>
          <w:rFonts w:ascii="Times New Roman" w:hAnsi="Times New Roman" w:cs="Times New Roman"/>
          <w:b/>
          <w:sz w:val="28"/>
          <w:szCs w:val="28"/>
        </w:rPr>
        <w:t xml:space="preserve">3.5 Методы детекции в ПЦР реального времени</w:t>
      </w:r>
    </w:p>
    <w:p>
      <w:pPr>
        <w:jc w:val="both"/>
        <w:ind w:firstLine="709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В количественной ПЦР применяют два основных подхода к регистрации сигнала. Первый основан на интеркалирующих красителях, которые флуоресцируют при встраивании в двухцепочечную ДНК; интенсивность свечения растёт пропорционально количеству накопленного продукта. Метод прост и недорог, но требует контроля специфичности, поскольку краситель связывается с любой двухцепочечной ДНК, включая неспецифические продукты и димеры праймеров [4, 16].</w:t>
      </w:r>
    </w:p>
    <w:p>
      <w:pPr>
        <w:jc w:val="both"/>
        <w:ind w:firstLine="709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Второй подход использует флуоресцентно-меченые гибридизационные зонды, комплементарные внутреннему участку ампликона. Пока зонд цел, флуоресценция подавлена за счёт расположенного рядом гасителя; в ходе элонгации полимераза разрушает зонд, и флуорофор начинает светиться. Поскольку сигнал возникает только при связывании зонда со строго определённой последовательностью, этот метод обеспечивает более высокую специфичность и позволяет одновременно анализировать несколько мишеней [4, 16].</w:t>
      </w:r>
    </w:p>
    <w:p>
      <w:pPr>
        <w:jc w:val="center"/>
        <w:spacing w:before="60" w:after="200" w:line="276" w:lineRule="auto"/>
      </w:pPr>
      <w:r>
        <w:rPr>
          <w:rFonts w:ascii="Times New Roman" w:hAnsi="Times New Roman" w:cs="Times New Roman"/>
          <w:sz w:val="24"/>
          <w:szCs w:val="24"/>
        </w:rPr>
        <w:t xml:space="preserve">Рисунок 3.3 — Сравнение методов детекции в количественной ПЦР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00"/>
        <w:gridCol w:w="3300"/>
        <w:gridCol w:w="3300"/>
      </w:tblGrid>
      <w:tr>
        <w:tc>
          <w:tcPr>
            <w:tcW w:w="2700" w:type="dxa"/>
            <w:shd w:val="clear" w:color="auto" w:fill="D9E2F3"/>
            <w:vAlign w:val="center"/>
          </w:tcPr>
          <w:p>
            <w:pPr>
              <w:jc w:val="center"/>
              <w:spacing w:after="40" w:line="276" w:lineRule="auto"/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Признак</w:t>
            </w:r>
          </w:p>
        </w:tc>
        <w:tc>
          <w:tcPr>
            <w:tcW w:w="3300" w:type="dxa"/>
            <w:shd w:val="clear" w:color="auto" w:fill="D9E2F3"/>
            <w:vAlign w:val="center"/>
          </w:tcPr>
          <w:p>
            <w:pPr>
              <w:jc w:val="center"/>
              <w:spacing w:after="40" w:line="276" w:lineRule="auto"/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Интеркалирующий краситель</w:t>
            </w:r>
          </w:p>
        </w:tc>
        <w:tc>
          <w:tcPr>
            <w:tcW w:w="3300" w:type="dxa"/>
            <w:shd w:val="clear" w:color="auto" w:fill="D9E2F3"/>
            <w:vAlign w:val="center"/>
          </w:tcPr>
          <w:p>
            <w:pPr>
              <w:jc w:val="center"/>
              <w:spacing w:after="40" w:line="276" w:lineRule="auto"/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Гибридизационный зонд</w:t>
            </w:r>
          </w:p>
        </w:tc>
      </w:tr>
      <w:tr>
        <w:tc>
          <w:tcPr>
            <w:tcW w:w="27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Специфичность</w:t>
            </w:r>
          </w:p>
        </w:tc>
        <w:tc>
          <w:tcPr>
            <w:tcW w:w="33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ниже</w:t>
            </w:r>
          </w:p>
        </w:tc>
        <w:tc>
          <w:tcPr>
            <w:tcW w:w="33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выше</w:t>
            </w:r>
          </w:p>
        </w:tc>
      </w:tr>
      <w:tr>
        <w:tc>
          <w:tcPr>
            <w:tcW w:w="27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Стоимость</w:t>
            </w:r>
          </w:p>
        </w:tc>
        <w:tc>
          <w:tcPr>
            <w:tcW w:w="33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ниже</w:t>
            </w:r>
          </w:p>
        </w:tc>
        <w:tc>
          <w:tcPr>
            <w:tcW w:w="33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выше</w:t>
            </w:r>
          </w:p>
        </w:tc>
      </w:tr>
      <w:tr>
        <w:tc>
          <w:tcPr>
            <w:tcW w:w="27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Мультиплекс</w:t>
            </w:r>
          </w:p>
        </w:tc>
        <w:tc>
          <w:tcPr>
            <w:tcW w:w="33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невозможен</w:t>
            </w:r>
          </w:p>
        </w:tc>
        <w:tc>
          <w:tcPr>
            <w:tcW w:w="33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возможен</w:t>
            </w:r>
          </w:p>
        </w:tc>
      </w:tr>
      <w:tr>
        <w:tc>
          <w:tcPr>
            <w:tcW w:w="27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Контроль продукта</w:t>
            </w:r>
          </w:p>
        </w:tc>
        <w:tc>
          <w:tcPr>
            <w:tcW w:w="33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анализ кривой плавления</w:t>
            </w:r>
          </w:p>
        </w:tc>
        <w:tc>
          <w:tcPr>
            <w:tcW w:w="33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не требуется</w:t>
            </w:r>
          </w:p>
        </w:tc>
      </w:tr>
    </w:tbl>
    <w:p>
      <w:pPr>
        <w:spacing w:after="120"/>
      </w:pPr>
    </w:p>
    <w:p>
      <w:pPr>
        <w:pStyle w:val="Heading2"/>
        <w:jc w:val="left"/>
        <w:spacing w:before="200" w:after="160" w:line="360" w:lineRule="auto"/>
        <w:ind w:firstLine="709"/>
      </w:pPr>
      <w:r>
        <w:rPr>
          <w:rFonts w:ascii="Times New Roman" w:hAnsi="Times New Roman" w:cs="Times New Roman"/>
          <w:b/>
          <w:sz w:val="28"/>
          <w:szCs w:val="28"/>
        </w:rPr>
        <w:t xml:space="preserve">3.6 Принципы количественной оценки экспрессии</w:t>
      </w:r>
    </w:p>
    <w:p>
      <w:pPr>
        <w:jc w:val="both"/>
        <w:ind w:firstLine="709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Основным измеряемым параметром количественной ПЦР служит пороговый цикл — номер цикла, на котором флуоресцентный сигнал впервые превышает заданный порог. Чем больше исходное количество матрицы, тем раньше достигается порог и тем меньше значение порогового цикла. Зависимость порогового цикла от логарифма исходной концентрации матрицы линейна, что и лежит в основе количественного анализа [4, 16].</w:t>
      </w:r>
    </w:p>
    <w:p>
      <w:pPr>
        <w:jc w:val="both"/>
        <w:ind w:firstLine="709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Различают абсолютную и относительную количественную оценку. При абсолютном подходе исходное число копий определяют по калибровочной кривой, построенной на серии стандартов известной концентрации. При относительном подходе уровень экспрессии целевого гена сопоставляют с уровнем стабильно экспрессируемого референсного гена, что компенсирует различия в количестве и качестве исходного материала. Для оценки экспрессии TOP2A обычно используют именно относительный подход с нормировкой на референсные гены [4, 16].</w:t>
      </w:r>
    </w:p>
    <w:p>
      <w:pPr>
        <w:pStyle w:val="Heading2"/>
        <w:jc w:val="left"/>
        <w:spacing w:before="200" w:after="160" w:line="360" w:lineRule="auto"/>
        <w:ind w:firstLine="709"/>
      </w:pPr>
      <w:r>
        <w:rPr>
          <w:rFonts w:ascii="Times New Roman" w:hAnsi="Times New Roman" w:cs="Times New Roman"/>
          <w:b/>
          <w:sz w:val="28"/>
          <w:szCs w:val="28"/>
        </w:rPr>
        <w:t xml:space="preserve">3.7 Требования к праймерам для анализа гена TOP2A</w:t>
      </w:r>
    </w:p>
    <w:p>
      <w:pPr>
        <w:jc w:val="both"/>
        <w:ind w:firstLine="709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Надёжность всей тест-системы критически зависит от качества праймеров, получаемых фосфорамидитным синтезом (глава 1). Праймеры должны быть строго специфичны к последовательности гена TOP2A, чтобы исключить ложноположительные результаты, связанные с амплификацией посторонних последовательностей или близкородственного гена TOP2B [6, 10, 17]. Соблюдение требований к длине, температуре плавления, нуклеотидному составу и отсутствию вторичных структур (рассмотренных подробно в разделе 4.2) обеспечивает высокую чувствительность и воспроизводимость анализа.</w:t>
      </w:r>
    </w:p>
    <w:p>
      <w:pPr>
        <w:pStyle w:val="Heading2"/>
        <w:jc w:val="left"/>
        <w:spacing w:before="200" w:after="160" w:line="360" w:lineRule="auto"/>
        <w:ind w:firstLine="709"/>
      </w:pPr>
      <w:r>
        <w:rPr>
          <w:rFonts w:ascii="Times New Roman" w:hAnsi="Times New Roman" w:cs="Times New Roman"/>
          <w:b/>
          <w:sz w:val="28"/>
          <w:szCs w:val="28"/>
        </w:rPr>
        <w:t xml:space="preserve">3.8 Контроль качества и источники ошибок</w:t>
      </w:r>
    </w:p>
    <w:p>
      <w:pPr>
        <w:jc w:val="both"/>
        <w:ind w:firstLine="709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Достоверность результатов полимеразной цепной реакции обеспечивается системой контролей. Отрицательный контроль без матрицы выявляет загрязнение реагентов посторонней ДНК и образование димеров праймеров. Положительный контроль с заведомо известной матрицей подтверждает работоспособность системы. При анализе экспрессии обязателен контроль на отсутствие геномной ДНК, поскольку её примесь способна исказить оценку уровня матричной РНК [4, 16].</w:t>
      </w:r>
    </w:p>
    <w:p>
      <w:pPr>
        <w:jc w:val="both"/>
        <w:ind w:firstLine="709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К числу основных источников ошибок относят перекрёстное загрязнение продуктами предыдущих реакций, деградацию РНК при выделении, неполную обратную транскрипцию, присутствие ингибиторов в образце и неоптимальный подбор праймеров. Соблюдение принципов организации ПЦР-лаборатории, использование наконечников с фильтром, аккуратная пробоподготовка и продуманный дизайн праймеров позволяют свести эти риски к минимуму и получить воспроизводимые количественные данные по экспрессии гена TOP2A.</w:t>
      </w:r>
    </w:p>
    <w:p>
      <w:pPr>
        <w:pStyle w:val="Heading1"/>
        <w:pageBreakBefore/>
        <w:jc w:val="center"/>
        <w:spacing w:before="240" w:after="240" w:line="360" w:lineRule="auto"/>
      </w:pPr>
      <w:r>
        <w:rPr>
          <w:rFonts w:ascii="Times New Roman" w:hAnsi="Times New Roman" w:cs="Times New Roman"/>
          <w:b/>
          <w:sz w:val="32"/>
          <w:szCs w:val="32"/>
        </w:rPr>
        <w:t xml:space="preserve">ГЛАВА 4. ЭКСПЕРИМЕНТАЛЬНАЯ ЧАСТЬ</w:t>
      </w:r>
    </w:p>
    <w:p>
      <w:pPr>
        <w:pStyle w:val="Heading2"/>
        <w:jc w:val="left"/>
        <w:spacing w:before="200" w:after="160" w:line="360" w:lineRule="auto"/>
        <w:ind w:firstLine="709"/>
      </w:pPr>
      <w:r>
        <w:rPr>
          <w:rFonts w:ascii="Times New Roman" w:hAnsi="Times New Roman" w:cs="Times New Roman"/>
          <w:b/>
          <w:sz w:val="28"/>
          <w:szCs w:val="28"/>
        </w:rPr>
        <w:t xml:space="preserve">4.1 Материалы, реагенты и оборудование</w:t>
      </w:r>
    </w:p>
    <w:p>
      <w:pPr>
        <w:jc w:val="both"/>
        <w:ind w:firstLine="709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При выполнении работы использовали реактивы аналитической степени чистоты и специализированное оборудование для автоматизированного синтеза олигонуклеотидов и молекулярно-генетического анализа. Ниже перечислены основные приборы, носители и реагенты.</w:t>
      </w:r>
    </w:p>
    <w:p>
      <w:pPr>
        <w:jc w:val="both"/>
        <w:ind w:firstLine="709"/>
        <w:spacing w:after="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Приборы и установки.</w:t>
      </w:r>
    </w:p>
    <w:p>
      <w:pPr>
        <w:pStyle w:val="ListParagraph"/>
        <w:numPr>
          <w:ilvl w:val="0"/>
          <w:numId w:val="1"/>
        </w:numPr>
        <w:jc w:val="both"/>
        <w:spacing w:after="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Синтез олигонуклеотидов: </w:t>
      </w:r>
      <w:r>
        <w:rPr>
          <w:rFonts w:ascii="Times New Roman" w:hAnsi="Times New Roman" w:cs="Times New Roman"/>
          <w:sz w:val="28"/>
          <w:szCs w:val="28"/>
        </w:rPr>
        <w:t xml:space="preserve">автоматический синтезатор ДНК/РНК, оснащённый системой подачи аргона высокой чистоты (99,99 %) для создания инертной атмосферы.</w:t>
      </w:r>
    </w:p>
    <w:p>
      <w:pPr>
        <w:pStyle w:val="ListParagraph"/>
        <w:numPr>
          <w:ilvl w:val="0"/>
          <w:numId w:val="1"/>
        </w:numPr>
        <w:jc w:val="both"/>
        <w:spacing w:after="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Анализ методом ПЦР: </w:t>
      </w:r>
      <w:r>
        <w:rPr>
          <w:rFonts w:ascii="Times New Roman" w:hAnsi="Times New Roman" w:cs="Times New Roman"/>
          <w:sz w:val="28"/>
          <w:szCs w:val="28"/>
        </w:rPr>
        <w:t xml:space="preserve">программируемый термоциклер с системой детекции флуоресценции в реальном времени.</w:t>
      </w:r>
    </w:p>
    <w:p>
      <w:pPr>
        <w:pStyle w:val="ListParagraph"/>
        <w:numPr>
          <w:ilvl w:val="0"/>
          <w:numId w:val="1"/>
        </w:numPr>
        <w:jc w:val="both"/>
        <w:spacing w:after="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Очистка и обессоливание: </w:t>
      </w:r>
      <w:r>
        <w:rPr>
          <w:rFonts w:ascii="Times New Roman" w:hAnsi="Times New Roman" w:cs="Times New Roman"/>
          <w:sz w:val="28"/>
          <w:szCs w:val="28"/>
        </w:rPr>
        <w:t xml:space="preserve">система высокоэффективной жидкостной хроматографии с обращённо-фазовой колонкой либо установка вертикального гель-электрофореза.</w:t>
      </w:r>
    </w:p>
    <w:p>
      <w:pPr>
        <w:pStyle w:val="ListParagraph"/>
        <w:numPr>
          <w:ilvl w:val="0"/>
          <w:numId w:val="1"/>
        </w:numPr>
        <w:jc w:val="both"/>
        <w:spacing w:after="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Вспомогательное оборудование: </w:t>
      </w:r>
      <w:r>
        <w:rPr>
          <w:rFonts w:ascii="Times New Roman" w:hAnsi="Times New Roman" w:cs="Times New Roman"/>
          <w:sz w:val="28"/>
          <w:szCs w:val="28"/>
        </w:rPr>
        <w:t xml:space="preserve">вакуумный концентратор (центрифужный испаритель), спектрофотометр для измерения концентрации нуклеиновых кислот по поглощению при длине волны 260 нанометров, лабораторные микроцентрифуги и дозаторы.</w:t>
      </w:r>
    </w:p>
    <w:p>
      <w:pPr>
        <w:jc w:val="both"/>
        <w:ind w:firstLine="709"/>
        <w:spacing w:after="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Реагенты для фосфорамидитного синтеза.</w:t>
      </w:r>
    </w:p>
    <w:p>
      <w:pPr>
        <w:pStyle w:val="ListParagraph"/>
        <w:numPr>
          <w:ilvl w:val="0"/>
          <w:numId w:val="1"/>
        </w:numPr>
        <w:jc w:val="both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мономеры — нуклеозид-3′-фосфорамидиты с 5′-диметокситритильной защитой, чистотой не менее 99 %;</w:t>
      </w:r>
    </w:p>
    <w:p>
      <w:pPr>
        <w:pStyle w:val="ListParagraph"/>
        <w:numPr>
          <w:ilvl w:val="0"/>
          <w:numId w:val="1"/>
        </w:numPr>
        <w:jc w:val="both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твердофазный носитель — стекло с контролируемым размером пор (размер пор около 500 ангстрем), функционализированное стартовым нуклеозидом;</w:t>
      </w:r>
    </w:p>
    <w:p>
      <w:pPr>
        <w:pStyle w:val="ListParagraph"/>
        <w:numPr>
          <w:ilvl w:val="0"/>
          <w:numId w:val="1"/>
        </w:numPr>
        <w:jc w:val="both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активатор — раствор производного тетразола (или дицианоимидазола) в безводном ацетонитриле;</w:t>
      </w:r>
    </w:p>
    <w:p>
      <w:pPr>
        <w:pStyle w:val="ListParagraph"/>
        <w:numPr>
          <w:ilvl w:val="0"/>
          <w:numId w:val="1"/>
        </w:numPr>
        <w:jc w:val="both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деблокирующий раствор — раствор трихлоруксусной (или дихлоруксусной) кислоты в дихлорметане;</w:t>
      </w:r>
    </w:p>
    <w:p>
      <w:pPr>
        <w:pStyle w:val="ListParagraph"/>
        <w:numPr>
          <w:ilvl w:val="0"/>
          <w:numId w:val="1"/>
        </w:numPr>
        <w:jc w:val="both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кэпирующие растворы — уксусный ангидрид в тетрагидрофуране с пиридином и раствор N-метилимидазола в тетрагидрофуране;</w:t>
      </w:r>
    </w:p>
    <w:p>
      <w:pPr>
        <w:pStyle w:val="ListParagraph"/>
        <w:numPr>
          <w:ilvl w:val="0"/>
          <w:numId w:val="1"/>
        </w:numPr>
        <w:jc w:val="both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окислитель — раствор иода в смеси тетрагидрофурана, пиридина и воды.</w:t>
      </w:r>
    </w:p>
    <w:p>
      <w:pPr>
        <w:jc w:val="both"/>
        <w:ind w:firstLine="709"/>
        <w:spacing w:after="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Реагенты для выделения РНК и проведения ПЦР.</w:t>
      </w:r>
    </w:p>
    <w:p>
      <w:pPr>
        <w:pStyle w:val="ListParagraph"/>
        <w:numPr>
          <w:ilvl w:val="0"/>
          <w:numId w:val="1"/>
        </w:numPr>
        <w:jc w:val="both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набор для выделения суммарной РНК;</w:t>
      </w:r>
    </w:p>
    <w:p>
      <w:pPr>
        <w:pStyle w:val="ListParagraph"/>
        <w:numPr>
          <w:ilvl w:val="0"/>
          <w:numId w:val="1"/>
        </w:numPr>
        <w:jc w:val="both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набор для синтеза комплементарной ДНК (обратная транскриптаза и затравки);</w:t>
      </w:r>
    </w:p>
    <w:p>
      <w:pPr>
        <w:pStyle w:val="ListParagraph"/>
        <w:numPr>
          <w:ilvl w:val="0"/>
          <w:numId w:val="1"/>
        </w:numPr>
        <w:jc w:val="both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готовая реакционная смесь для ПЦР в реальном времени, содержащая термостабильную полимеразу, смесь дезоксирибонуклеозидтрифосфатов и систему детекции (флуоресцентный краситель или зонд);</w:t>
      </w:r>
    </w:p>
    <w:p>
      <w:pPr>
        <w:pStyle w:val="ListParagraph"/>
        <w:numPr>
          <w:ilvl w:val="0"/>
          <w:numId w:val="1"/>
        </w:numPr>
        <w:jc w:val="both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вода, свободная от нуклеаз.</w:t>
      </w:r>
    </w:p>
    <w:p>
      <w:pPr>
        <w:jc w:val="both"/>
        <w:ind w:firstLine="709"/>
        <w:spacing w:after="0" w:line="360" w:lineRule="auto"/>
      </w:pPr>
      <w:r>
        <w:rPr>
          <w:rFonts w:ascii="Times New Roman" w:hAnsi="Times New Roman" w:cs="Times New Roman"/>
          <w:i/>
          <w:sz w:val="28"/>
          <w:szCs w:val="28"/>
        </w:rPr>
        <w:t xml:space="preserve">Замечание по обозначениям. </w:t>
      </w:r>
      <w:r>
        <w:rPr>
          <w:rFonts w:ascii="Times New Roman" w:hAnsi="Times New Roman" w:cs="Times New Roman"/>
          <w:i/>
          <w:sz w:val="28"/>
          <w:szCs w:val="28"/>
        </w:rPr>
        <w:t xml:space="preserve">В тексте англоязычные обозначения заменены русскоязычными эквивалентами: «прямой праймер» вместо forward, «обратный праймер» вместо reverse, «стекло с контролируемым размером пор» вместо controlled pore glass, «степень чистоты» вместо grade. Сохранены лишь общепринятые символьные обозначения (Tm, dNTP, Mg2+) и официальное название гена TOP2A.</w:t>
      </w:r>
    </w:p>
    <w:p>
      <w:pPr>
        <w:pStyle w:val="Heading2"/>
        <w:jc w:val="left"/>
        <w:spacing w:before="200" w:after="160" w:line="360" w:lineRule="auto"/>
        <w:ind w:firstLine="709"/>
      </w:pPr>
      <w:r>
        <w:rPr>
          <w:rFonts w:ascii="Times New Roman" w:hAnsi="Times New Roman" w:cs="Times New Roman"/>
          <w:b/>
          <w:sz w:val="28"/>
          <w:szCs w:val="28"/>
        </w:rPr>
        <w:t xml:space="preserve">4.2 Биоинформатический подбор праймеров к гену TOP2A</w:t>
      </w:r>
    </w:p>
    <w:p>
      <w:pPr>
        <w:jc w:val="both"/>
        <w:ind w:firstLine="709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Для точного измерения экспрессии гена TOP2A человека выполнен компьютерный подбор последовательностей праймеров на основе референсной матричной РНК гена. Проектирование проводили с помощью общедоступных программных средств подбора и проверки праймеров, после чего специфичность кандидатов проверяли сравнением с полным геномом и транскриптомом человека [13, 17]. Критерии подбора сведены в таблицу 4.1.</w:t>
      </w:r>
    </w:p>
    <w:p>
      <w:pPr>
        <w:jc w:val="center"/>
        <w:spacing w:before="60" w:after="200" w:line="276" w:lineRule="auto"/>
      </w:pPr>
      <w:r>
        <w:rPr>
          <w:rFonts w:ascii="Times New Roman" w:hAnsi="Times New Roman" w:cs="Times New Roman"/>
          <w:sz w:val="24"/>
          <w:szCs w:val="24"/>
        </w:rPr>
        <w:t xml:space="preserve">Рисунок 4.1 — Критерии подбора праймеров для количественной ОТ-ПЦР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0"/>
        <w:gridCol w:w="5400"/>
      </w:tblGrid>
      <w:tr>
        <w:tc>
          <w:tcPr>
            <w:tcW w:w="3900" w:type="dxa"/>
            <w:shd w:val="clear" w:color="auto" w:fill="D9E2F3"/>
            <w:vAlign w:val="center"/>
          </w:tcPr>
          <w:p>
            <w:pPr>
              <w:jc w:val="center"/>
              <w:spacing w:after="40" w:line="276" w:lineRule="auto"/>
            </w:pPr>
            <w:r>
              <w:rPr>
                <w:rFonts w:ascii="Times New Roman" w:hAnsi="Times New Roman" w:cs="Times New Roman"/>
                <w:b/>
                <w:sz w:val="23"/>
                <w:szCs w:val="23"/>
              </w:rPr>
              <w:t xml:space="preserve">Параметр</w:t>
            </w:r>
          </w:p>
        </w:tc>
        <w:tc>
          <w:tcPr>
            <w:tcW w:w="5400" w:type="dxa"/>
            <w:shd w:val="clear" w:color="auto" w:fill="D9E2F3"/>
            <w:vAlign w:val="center"/>
          </w:tcPr>
          <w:p>
            <w:pPr>
              <w:jc w:val="center"/>
              <w:spacing w:after="40" w:line="276" w:lineRule="auto"/>
            </w:pPr>
            <w:r>
              <w:rPr>
                <w:rFonts w:ascii="Times New Roman" w:hAnsi="Times New Roman" w:cs="Times New Roman"/>
                <w:b/>
                <w:sz w:val="23"/>
                <w:szCs w:val="23"/>
              </w:rPr>
              <w:t xml:space="preserve">Рекомендуемое значение</w:t>
            </w:r>
          </w:p>
        </w:tc>
      </w:tr>
      <w:tr>
        <w:tc>
          <w:tcPr>
            <w:tcW w:w="39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Длина праймера</w:t>
            </w:r>
          </w:p>
        </w:tc>
        <w:tc>
          <w:tcPr>
            <w:tcW w:w="54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18–24 нуклеотида</w:t>
            </w:r>
          </w:p>
        </w:tc>
      </w:tr>
      <w:tr>
        <w:tc>
          <w:tcPr>
            <w:tcW w:w="39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Длина ампликона</w:t>
            </w:r>
          </w:p>
        </w:tc>
        <w:tc>
          <w:tcPr>
            <w:tcW w:w="54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100–200 пар нуклеотидов</w:t>
            </w:r>
          </w:p>
        </w:tc>
      </w:tr>
      <w:tr>
        <w:tc>
          <w:tcPr>
            <w:tcW w:w="39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Температура плавления (Tm)</w:t>
            </w:r>
          </w:p>
        </w:tc>
        <w:tc>
          <w:tcPr>
            <w:tcW w:w="54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58–62 °C, разница в паре не более 2 °C</w:t>
            </w:r>
          </w:p>
        </w:tc>
      </w:tr>
      <w:tr>
        <w:tc>
          <w:tcPr>
            <w:tcW w:w="39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Содержание G и C</w:t>
            </w:r>
          </w:p>
        </w:tc>
        <w:tc>
          <w:tcPr>
            <w:tcW w:w="54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40–60 %</w:t>
            </w:r>
          </w:p>
        </w:tc>
      </w:tr>
      <w:tr>
        <w:tc>
          <w:tcPr>
            <w:tcW w:w="39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Расположение</w:t>
            </w:r>
          </w:p>
        </w:tc>
        <w:tc>
          <w:tcPr>
            <w:tcW w:w="54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на границе экзонов (исключение геномной ДНК)</w:t>
            </w:r>
          </w:p>
        </w:tc>
      </w:tr>
      <w:tr>
        <w:tc>
          <w:tcPr>
            <w:tcW w:w="39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Вторичные структуры</w:t>
            </w:r>
          </w:p>
        </w:tc>
        <w:tc>
          <w:tcPr>
            <w:tcW w:w="54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отсутствие шпилек и димеров праймеров</w:t>
            </w:r>
          </w:p>
        </w:tc>
      </w:tr>
      <w:tr>
        <w:tc>
          <w:tcPr>
            <w:tcW w:w="39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Специфичность</w:t>
            </w:r>
          </w:p>
        </w:tc>
        <w:tc>
          <w:tcPr>
            <w:tcW w:w="54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уникальность относительно генома и TOP2B</w:t>
            </w:r>
          </w:p>
        </w:tc>
      </w:tr>
    </w:tbl>
    <w:p>
      <w:pPr>
        <w:spacing w:after="120"/>
      </w:pPr>
    </w:p>
    <w:p>
      <w:pPr>
        <w:jc w:val="both"/>
        <w:ind w:firstLine="709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Расположение праймеров на стыке соседних экзонов — важный приём, позволяющий исключить амплификацию примесной геномной ДНК: такой праймер связывается только с непрерывной последовательностью матричной РНК (точнее, синтезированной по ней комплементарной ДНК), но не с геномной ДНК, где между экзонами расположен интрон. Минимальная разница температур плавления прямого и обратного праймеров обеспечивает их синхронный отжиг, а отсутствие комплементарности между праймерами предотвращает образование димеров, снижающих эффективность реакции [13, 17].</w:t>
      </w:r>
    </w:p>
    <w:p>
      <w:pPr>
        <w:jc w:val="both"/>
        <w:ind w:firstLine="709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Кандидатные пары праймеров дополнительно проверяли на отсутствие устойчивых вторичных структур и на уникальность связывания, после чего отобранные последовательности передавали на синтез фосфорамидитным методом согласно протоколу раздела 4.3.</w:t>
      </w:r>
    </w:p>
    <w:p>
      <w:pPr>
        <w:pStyle w:val="Heading2"/>
        <w:jc w:val="left"/>
        <w:spacing w:before="200" w:after="160" w:line="360" w:lineRule="auto"/>
        <w:ind w:firstLine="709"/>
      </w:pPr>
      <w:r>
        <w:rPr>
          <w:rFonts w:ascii="Times New Roman" w:hAnsi="Times New Roman" w:cs="Times New Roman"/>
          <w:b/>
          <w:sz w:val="28"/>
          <w:szCs w:val="28"/>
        </w:rPr>
        <w:t xml:space="preserve">4.3 Протокол синтеза и очистки олигонуклеотидов</w:t>
      </w:r>
    </w:p>
    <w:p>
      <w:pPr>
        <w:jc w:val="both"/>
        <w:ind w:firstLine="709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Синтез отобранных праймеров проводили на автоматическом синтезаторе по стандартной фосфорамидитной схеме, описанной в главе 1. Каждое нуклеотидное звено присоединяли в ходе повторяющегося цикла из четырёх стадий: детритилирование, конденсация, кэпирование и окисление. Обобщённые условия стадий приведены в таблице 4.2.</w:t>
      </w:r>
    </w:p>
    <w:p>
      <w:pPr>
        <w:jc w:val="center"/>
        <w:spacing w:before="60" w:after="200" w:line="276" w:lineRule="auto"/>
      </w:pPr>
      <w:r>
        <w:rPr>
          <w:rFonts w:ascii="Times New Roman" w:hAnsi="Times New Roman" w:cs="Times New Roman"/>
          <w:sz w:val="24"/>
          <w:szCs w:val="24"/>
        </w:rPr>
        <w:t xml:space="preserve">Рисунок 4.2 — Условия стадий синтетического цикла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00"/>
        <w:gridCol w:w="4000"/>
        <w:gridCol w:w="3000"/>
      </w:tblGrid>
      <w:tr>
        <w:tc>
          <w:tcPr>
            <w:tcW w:w="2300" w:type="dxa"/>
            <w:shd w:val="clear" w:color="auto" w:fill="D9E2F3"/>
            <w:vAlign w:val="center"/>
          </w:tcPr>
          <w:p>
            <w:pPr>
              <w:jc w:val="center"/>
              <w:spacing w:after="40" w:line="276" w:lineRule="auto"/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Стадия</w:t>
            </w:r>
          </w:p>
        </w:tc>
        <w:tc>
          <w:tcPr>
            <w:tcW w:w="4000" w:type="dxa"/>
            <w:shd w:val="clear" w:color="auto" w:fill="D9E2F3"/>
            <w:vAlign w:val="center"/>
          </w:tcPr>
          <w:p>
            <w:pPr>
              <w:jc w:val="center"/>
              <w:spacing w:after="40" w:line="276" w:lineRule="auto"/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Реагент</w:t>
            </w:r>
          </w:p>
        </w:tc>
        <w:tc>
          <w:tcPr>
            <w:tcW w:w="3000" w:type="dxa"/>
            <w:shd w:val="clear" w:color="auto" w:fill="D9E2F3"/>
            <w:vAlign w:val="center"/>
          </w:tcPr>
          <w:p>
            <w:pPr>
              <w:jc w:val="center"/>
              <w:spacing w:after="40" w:line="276" w:lineRule="auto"/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Назначение</w:t>
            </w:r>
          </w:p>
        </w:tc>
      </w:tr>
      <w:tr>
        <w:tc>
          <w:tcPr>
            <w:tcW w:w="23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Детритилирование</w:t>
            </w:r>
          </w:p>
        </w:tc>
        <w:tc>
          <w:tcPr>
            <w:tcW w:w="40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кислота в дихлорметане</w:t>
            </w:r>
          </w:p>
        </w:tc>
        <w:tc>
          <w:tcPr>
            <w:tcW w:w="30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освобождение 5′-ОН-группы</w:t>
            </w:r>
          </w:p>
        </w:tc>
      </w:tr>
      <w:tr>
        <w:tc>
          <w:tcPr>
            <w:tcW w:w="23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Конденсация</w:t>
            </w:r>
          </w:p>
        </w:tc>
        <w:tc>
          <w:tcPr>
            <w:tcW w:w="40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фосфорамидит + активатор</w:t>
            </w:r>
          </w:p>
        </w:tc>
        <w:tc>
          <w:tcPr>
            <w:tcW w:w="30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присоединение звена</w:t>
            </w:r>
          </w:p>
        </w:tc>
      </w:tr>
      <w:tr>
        <w:tc>
          <w:tcPr>
            <w:tcW w:w="23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Кэпирование</w:t>
            </w:r>
          </w:p>
        </w:tc>
        <w:tc>
          <w:tcPr>
            <w:tcW w:w="40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уксусный ангидрид + N-метилимидазол</w:t>
            </w:r>
          </w:p>
        </w:tc>
        <w:tc>
          <w:tcPr>
            <w:tcW w:w="30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блокировка дефектов</w:t>
            </w:r>
          </w:p>
        </w:tc>
      </w:tr>
      <w:tr>
        <w:tc>
          <w:tcPr>
            <w:tcW w:w="23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Окисление</w:t>
            </w:r>
          </w:p>
        </w:tc>
        <w:tc>
          <w:tcPr>
            <w:tcW w:w="40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иод в ТГФ/пиридине/воде</w:t>
            </w:r>
          </w:p>
        </w:tc>
        <w:tc>
          <w:tcPr>
            <w:tcW w:w="30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стабилизация связи</w:t>
            </w:r>
          </w:p>
        </w:tc>
      </w:tr>
    </w:tbl>
    <w:p>
      <w:pPr>
        <w:spacing w:after="120"/>
      </w:pPr>
    </w:p>
    <w:p>
      <w:pPr>
        <w:jc w:val="both"/>
        <w:ind w:firstLine="709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По завершении сборки олигонуклеотид отделяли от носителя и удаляли защитные группы обработкой концентрированным раствором аммиака. Полученный препарат очищали методом обращённо-фазовой высокоэффективной жидкостной хроматографии либо электрофорезом в денатурирующем полиакриламидном геле, после чего обессоливали. Концентрацию и чистоту готового олигонуклеотида контролировали спектрофотометрически по поглощению при 260 нанометрах и по соотношению поглощений при 260 и 280 нанометрах, а корректность молекулярной массы подтверждали масс-спектрометрией [6, 10].</w:t>
      </w:r>
    </w:p>
    <w:p>
      <w:pPr>
        <w:pStyle w:val="Heading2"/>
        <w:jc w:val="left"/>
        <w:spacing w:before="200" w:after="160" w:line="360" w:lineRule="auto"/>
        <w:ind w:firstLine="709"/>
      </w:pPr>
      <w:r>
        <w:rPr>
          <w:rFonts w:ascii="Times New Roman" w:hAnsi="Times New Roman" w:cs="Times New Roman"/>
          <w:b/>
          <w:sz w:val="28"/>
          <w:szCs w:val="28"/>
        </w:rPr>
        <w:t xml:space="preserve">4.4 Выделение РНК и обратная транскрипция</w:t>
      </w:r>
    </w:p>
    <w:p>
      <w:pPr>
        <w:jc w:val="both"/>
        <w:ind w:firstLine="709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Суммарную РНК выделяли из исследуемого материала с использованием стандартного набора, строго соблюдая меры предосторожности против деградации: работу вели на льду, применяли воду и реактивы, свободные от нуклеаз, а также наконечники с фильтром. Качество и концентрацию выделенной РНК оценивали спектрофотометрически и электрофоретически. На матрице РНК с помощью обратной транскриптазы синтезировали комплементарную ДНК, которая далее служила матрицей для количественной ПЦР [4, 12].</w:t>
      </w:r>
    </w:p>
    <w:p>
      <w:pPr>
        <w:pStyle w:val="Heading2"/>
        <w:jc w:val="left"/>
        <w:spacing w:before="200" w:after="160" w:line="360" w:lineRule="auto"/>
        <w:ind w:firstLine="709"/>
      </w:pPr>
      <w:r>
        <w:rPr>
          <w:rFonts w:ascii="Times New Roman" w:hAnsi="Times New Roman" w:cs="Times New Roman"/>
          <w:b/>
          <w:sz w:val="28"/>
          <w:szCs w:val="28"/>
        </w:rPr>
        <w:t xml:space="preserve">4.5 Постановка количественной ОТ-ПЦР</w:t>
      </w:r>
    </w:p>
    <w:p>
      <w:pPr>
        <w:jc w:val="both"/>
        <w:ind w:firstLine="709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Количественную ПЦР в реальном времени проводили с использованием синтезированных праймеров к гену TOP2A и готовой реакционной смеси с системой флуоресцентной детекции. Параллельно ставили реакцию с праймерами к референсному гену для последующей нормировки. Типовая температурно-временная программа амплификации представлена в таблице 4.3.</w:t>
      </w:r>
    </w:p>
    <w:p>
      <w:pPr>
        <w:jc w:val="center"/>
        <w:spacing w:before="60" w:after="200" w:line="276" w:lineRule="auto"/>
      </w:pPr>
      <w:r>
        <w:rPr>
          <w:rFonts w:ascii="Times New Roman" w:hAnsi="Times New Roman" w:cs="Times New Roman"/>
          <w:sz w:val="24"/>
          <w:szCs w:val="24"/>
        </w:rPr>
        <w:t xml:space="preserve">Рисунок 4.3 — Типовая программа амплификации в реальном времени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00"/>
        <w:gridCol w:w="2200"/>
        <w:gridCol w:w="2000"/>
        <w:gridCol w:w="1800"/>
      </w:tblGrid>
      <w:tr>
        <w:tc>
          <w:tcPr>
            <w:tcW w:w="3300" w:type="dxa"/>
            <w:shd w:val="clear" w:color="auto" w:fill="D9E2F3"/>
            <w:vAlign w:val="center"/>
          </w:tcPr>
          <w:p>
            <w:pPr>
              <w:jc w:val="center"/>
              <w:spacing w:after="40" w:line="276" w:lineRule="auto"/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Этап</w:t>
            </w:r>
          </w:p>
        </w:tc>
        <w:tc>
          <w:tcPr>
            <w:tcW w:w="2200" w:type="dxa"/>
            <w:shd w:val="clear" w:color="auto" w:fill="D9E2F3"/>
            <w:vAlign w:val="center"/>
          </w:tcPr>
          <w:p>
            <w:pPr>
              <w:jc w:val="center"/>
              <w:spacing w:after="40" w:line="276" w:lineRule="auto"/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Температура</w:t>
            </w:r>
          </w:p>
        </w:tc>
        <w:tc>
          <w:tcPr>
            <w:tcW w:w="2000" w:type="dxa"/>
            <w:shd w:val="clear" w:color="auto" w:fill="D9E2F3"/>
            <w:vAlign w:val="center"/>
          </w:tcPr>
          <w:p>
            <w:pPr>
              <w:jc w:val="center"/>
              <w:spacing w:after="40" w:line="276" w:lineRule="auto"/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Время</w:t>
            </w:r>
          </w:p>
        </w:tc>
        <w:tc>
          <w:tcPr>
            <w:tcW w:w="1800" w:type="dxa"/>
            <w:shd w:val="clear" w:color="auto" w:fill="D9E2F3"/>
            <w:vAlign w:val="center"/>
          </w:tcPr>
          <w:p>
            <w:pPr>
              <w:jc w:val="center"/>
              <w:spacing w:after="40" w:line="276" w:lineRule="auto"/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Число циклов</w:t>
            </w:r>
          </w:p>
        </w:tc>
      </w:tr>
      <w:tr>
        <w:tc>
          <w:tcPr>
            <w:tcW w:w="33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Начальная денатурация</w:t>
            </w:r>
          </w:p>
        </w:tc>
        <w:tc>
          <w:tcPr>
            <w:tcW w:w="22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95 °C</w:t>
            </w:r>
          </w:p>
        </w:tc>
        <w:tc>
          <w:tcPr>
            <w:tcW w:w="20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3–10 мин</w:t>
            </w:r>
          </w:p>
        </w:tc>
        <w:tc>
          <w:tcPr>
            <w:tcW w:w="18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w="33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Денатурация</w:t>
            </w:r>
          </w:p>
        </w:tc>
        <w:tc>
          <w:tcPr>
            <w:tcW w:w="22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95 °C</w:t>
            </w:r>
          </w:p>
        </w:tc>
        <w:tc>
          <w:tcPr>
            <w:tcW w:w="20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10–15 с</w:t>
            </w:r>
          </w:p>
        </w:tc>
        <w:tc>
          <w:tcPr>
            <w:tcW w:w="18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40</w:t>
            </w:r>
          </w:p>
        </w:tc>
      </w:tr>
      <w:tr>
        <w:tc>
          <w:tcPr>
            <w:tcW w:w="33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Отжиг и элонгация</w:t>
            </w:r>
          </w:p>
        </w:tc>
        <w:tc>
          <w:tcPr>
            <w:tcW w:w="22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60 °C</w:t>
            </w:r>
          </w:p>
        </w:tc>
        <w:tc>
          <w:tcPr>
            <w:tcW w:w="20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30–60 с</w:t>
            </w:r>
          </w:p>
        </w:tc>
        <w:tc>
          <w:tcPr>
            <w:tcW w:w="18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40</w:t>
            </w:r>
          </w:p>
        </w:tc>
      </w:tr>
      <w:tr>
        <w:tc>
          <w:tcPr>
            <w:tcW w:w="33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Анализ кривой плавления</w:t>
            </w:r>
          </w:p>
        </w:tc>
        <w:tc>
          <w:tcPr>
            <w:tcW w:w="22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60→95 °C</w:t>
            </w:r>
          </w:p>
        </w:tc>
        <w:tc>
          <w:tcPr>
            <w:tcW w:w="20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плавно</w:t>
            </w:r>
          </w:p>
        </w:tc>
        <w:tc>
          <w:tcPr>
            <w:tcW w:w="1800" w:type="dxa"/>
            <w:vAlign w:val="center"/>
          </w:tcPr>
          <w:p>
            <w:pPr>
              <w:jc w:val="both"/>
              <w:spacing w:after="40" w:line="276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</w:t>
            </w:r>
          </w:p>
        </w:tc>
      </w:tr>
    </w:tbl>
    <w:p>
      <w:pPr>
        <w:spacing w:after="120"/>
      </w:pPr>
    </w:p>
    <w:p>
      <w:pPr>
        <w:jc w:val="both"/>
        <w:ind w:firstLine="709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В каждый эксперимент включали отрицательный контроль без матрицы и, при необходимости, контроль на отсутствие геномной ДНК. Специфичность продукта подтверждали анализом кривой плавления: наличие единственного пика свидетельствует об образовании одного специфического ампликона без побочных продуктов и димеров праймеров [4, 16].</w:t>
      </w:r>
    </w:p>
    <w:p>
      <w:pPr>
        <w:pStyle w:val="Heading2"/>
        <w:jc w:val="left"/>
        <w:spacing w:before="200" w:after="160" w:line="360" w:lineRule="auto"/>
        <w:ind w:firstLine="709"/>
      </w:pPr>
      <w:r>
        <w:rPr>
          <w:rFonts w:ascii="Times New Roman" w:hAnsi="Times New Roman" w:cs="Times New Roman"/>
          <w:b/>
          <w:sz w:val="28"/>
          <w:szCs w:val="28"/>
        </w:rPr>
        <w:t xml:space="preserve">4.6 Обработка результатов и нормировка</w:t>
      </w:r>
    </w:p>
    <w:p>
      <w:pPr>
        <w:jc w:val="both"/>
        <w:ind w:firstLine="709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Уровень экспрессии гена TOP2A оценивали относительным методом, сопоставляя пороговый цикл целевого гена с пороговым циклом стабильно экспрессируемого референсного гена. Относительное различие в экспрессии между сравниваемыми образцами рассчитывали по общепринятому методу сравнительного порогового цикла. Такой подход компенсирует различия в исходном количестве и качестве материала и обеспечивает корректное сопоставление образцов [4, 16].</w:t>
      </w:r>
    </w:p>
    <w:p>
      <w:pPr>
        <w:jc w:val="both"/>
        <w:ind w:firstLine="709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Каждый образец анализировали не менее чем в трёх повторностях, а достоверность различий оценивали статистически. Совокупность перечисленных мер — тщательный подбор и качественный синтез праймеров, аккуратное выделение РНК, использование контролей и корректная нормировка — обеспечивает воспроизводимость и достоверность количественной оценки экспрессии гена TOP2A.</w:t>
      </w:r>
    </w:p>
    <w:p>
      <w:pPr>
        <w:pStyle w:val="Heading2"/>
        <w:jc w:val="left"/>
        <w:spacing w:before="200" w:after="160" w:line="360" w:lineRule="auto"/>
        <w:ind w:firstLine="709"/>
      </w:pPr>
      <w:r>
        <w:rPr>
          <w:rFonts w:ascii="Times New Roman" w:hAnsi="Times New Roman" w:cs="Times New Roman"/>
          <w:b/>
          <w:sz w:val="28"/>
          <w:szCs w:val="28"/>
        </w:rPr>
        <w:t xml:space="preserve">4.7 Рекомендации по обеспечению достоверности анализа</w:t>
      </w:r>
    </w:p>
    <w:p>
      <w:pPr>
        <w:jc w:val="both"/>
        <w:ind w:firstLine="709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На основании рассмотренного материала сформулированы практические рекомендации, повышающие надёжность анализа экспрессии гена TOP2A:</w:t>
      </w:r>
    </w:p>
    <w:p>
      <w:pPr>
        <w:pStyle w:val="ListParagraph"/>
        <w:numPr>
          <w:ilvl w:val="0"/>
          <w:numId w:val="1"/>
        </w:numPr>
        <w:jc w:val="both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использовать праймеры на стыке экзонов и проверять их специфичность относительно гена TOP2B;</w:t>
      </w:r>
    </w:p>
    <w:p>
      <w:pPr>
        <w:pStyle w:val="ListParagraph"/>
        <w:numPr>
          <w:ilvl w:val="0"/>
          <w:numId w:val="1"/>
        </w:numPr>
        <w:jc w:val="both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применять очищенные олигонуклеотиды с подтверждённой масс-спектрометрией структурой;</w:t>
      </w:r>
    </w:p>
    <w:p>
      <w:pPr>
        <w:pStyle w:val="ListParagraph"/>
        <w:numPr>
          <w:ilvl w:val="0"/>
          <w:numId w:val="1"/>
        </w:numPr>
        <w:jc w:val="both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строго соблюдать правила работы с РНК и зональное разделение ПЦР-лаборатории;</w:t>
      </w:r>
    </w:p>
    <w:p>
      <w:pPr>
        <w:pStyle w:val="ListParagraph"/>
        <w:numPr>
          <w:ilvl w:val="0"/>
          <w:numId w:val="1"/>
        </w:numPr>
        <w:jc w:val="both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включать полный набор контролей и подтверждать специфичность анализом кривой плавления;</w:t>
      </w:r>
    </w:p>
    <w:p>
      <w:pPr>
        <w:pStyle w:val="ListParagraph"/>
        <w:numPr>
          <w:ilvl w:val="0"/>
          <w:numId w:val="1"/>
        </w:numPr>
        <w:jc w:val="both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нормировать результаты на проверенные референсные гены и проводить измерения в повторностях.</w:t>
      </w:r>
    </w:p>
    <w:p>
      <w:pPr>
        <w:pStyle w:val="Heading1"/>
        <w:pageBreakBefore/>
        <w:jc w:val="center"/>
        <w:spacing w:before="240" w:after="240" w:line="360" w:lineRule="auto"/>
      </w:pPr>
      <w:r>
        <w:rPr>
          <w:rFonts w:ascii="Times New Roman" w:hAnsi="Times New Roman" w:cs="Times New Roman"/>
          <w:b/>
          <w:sz w:val="32"/>
          <w:szCs w:val="32"/>
        </w:rPr>
        <w:t xml:space="preserve">ЗАКЛЮЧЕНИЕ</w:t>
      </w:r>
    </w:p>
    <w:p>
      <w:pPr>
        <w:jc w:val="both"/>
        <w:ind w:firstLine="709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В настоящей работе рассмотрена единая логическая цепь современной молекулярной диагностики, связывающая химический синтез олигонуклеотидов, биологию гена TOP2A и методологию полимеразной цепной реакции. Последовательное изложение этих разделов показало, что качество конечного аналитического результата закладывается уже на этапе синтеза праймеров и сопровождается на всех последующих стадиях анализа.</w:t>
      </w:r>
    </w:p>
    <w:p>
      <w:pPr>
        <w:jc w:val="both"/>
        <w:ind w:firstLine="709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В первой главе систематизированы теоретические основы твердофазного фосфорамидитного синтеза. Показано, что замкнутый цикл из четырёх стадий — детритилирования, конденсации, кэпирования и окисления — в сочетании с ортогональной системой защитных групп и эффективными методами очистки обеспечивает получение олигонуклеотидов требуемой длины, чистоты и специфичности. Эволюция методов химического синтеза и их современное состояние подробно отражены в литературе [5, 6, 12, 19–25].</w:t>
      </w:r>
    </w:p>
    <w:p>
      <w:pPr>
        <w:jc w:val="both"/>
        <w:ind w:firstLine="709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Во второй главе обобщены сведения о структурно-функциональной организации гена TOP2A, каталитическом механизме топоизомеразы II альфа и её роли в клеточном цикле. Обоснован статус гена как прогностического и предсказательного биомаркера, тесно связанного с пролиферативной активностью клеток и чувствительностью опухолей к ядам топоизомеразы [1, 2, 7, 8, 11, 15, 26–35].</w:t>
      </w:r>
    </w:p>
    <w:p>
      <w:pPr>
        <w:jc w:val="both"/>
        <w:ind w:firstLine="709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В третьей главе рассмотрены теоретические и методические основы полимеразной цепной реакции и её количественных модификаций. Показано, что относительная количественная ОТ-ПЦР с нормировкой на референсные гены является оптимальным инструментом измерения экспрессии TOP2A, а достоверность результатов обеспечивается системой контролей и анализом специфичности продукта [3, 4, 13, 14, 16, 36–52].</w:t>
      </w:r>
    </w:p>
    <w:p>
      <w:pPr>
        <w:jc w:val="both"/>
        <w:ind w:firstLine="709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В четвёртой главе предложен практический алгоритм: биоинформатический подбор специфичных праймеров на стыке экзонов, их синтез и очистка, выделение РНК, обратная транскрипция, постановка количественной ПЦР и корректная обработка результатов. Сформулированы рекомендации по обеспечению воспроизводимости анализа, опирающиеся в том числе на общепринятые методические руководства [17, 39, 41, 47–50, 53–56].</w:t>
      </w:r>
    </w:p>
    <w:p>
      <w:pPr>
        <w:jc w:val="both"/>
        <w:ind w:firstLine="709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Таким образом, цель работы достигнута: дано теоретическое обоснование стадий фосфорамидитного синтеза олигонуклеотидов и разработан целостный алгоритм анализа экспрессии гена TOP2A человека методом полимеразной цепной реакции. Предложенные решения могут быть использованы в учебной и научно-исследовательской практике молекулярно-генетических лабораторий.</w:t>
      </w:r>
    </w:p>
    <w:p>
      <w:pPr>
        <w:pStyle w:val="Heading1"/>
        <w:pageBreakBefore/>
        <w:jc w:val="center"/>
        <w:spacing w:before="240" w:after="240" w:line="360" w:lineRule="auto"/>
      </w:pPr>
      <w:r>
        <w:rPr>
          <w:rFonts w:ascii="Times New Roman" w:hAnsi="Times New Roman" w:cs="Times New Roman"/>
          <w:b/>
          <w:sz w:val="32"/>
          <w:szCs w:val="32"/>
        </w:rPr>
        <w:t xml:space="preserve">ВЫВОДЫ</w:t>
      </w:r>
    </w:p>
    <w:p>
      <w:pPr>
        <w:pStyle w:val="ListParagraph"/>
        <w:numPr>
          <w:ilvl w:val="0"/>
          <w:numId w:val="2"/>
        </w:numPr>
        <w:jc w:val="both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Твердофазный фосфорамидитный синтез, основанный на повторяющемся цикле из четырёх стадий и ортогональной системе защитных групп, обеспечивает направленное и высокоэффективное получение олигонуклеотидов заданной последовательности.</w:t>
      </w:r>
    </w:p>
    <w:p>
      <w:pPr>
        <w:pStyle w:val="ListParagraph"/>
        <w:numPr>
          <w:ilvl w:val="0"/>
          <w:numId w:val="2"/>
        </w:numPr>
        <w:jc w:val="both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Качество и чистота синтезированных праймеров, достигаемые хроматографической или электрофоретической очисткой и подтверждаемые спектрофотометрией и масс-спектрометрией, являются необходимым условием достоверности последующего анализа.</w:t>
      </w:r>
    </w:p>
    <w:p>
      <w:pPr>
        <w:pStyle w:val="ListParagraph"/>
        <w:numPr>
          <w:ilvl w:val="0"/>
          <w:numId w:val="2"/>
        </w:numPr>
        <w:jc w:val="both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Ген TOP2A человека (локус 17q21.2) кодирует топоизомеразу II альфа — фермент, критически важный для репликации и сегрегации хромосом; его экспрессия жёстко связана с пролиферацией и служит прогностическим и предсказательным биомаркером в онкологии.</w:t>
      </w:r>
    </w:p>
    <w:p>
      <w:pPr>
        <w:pStyle w:val="ListParagraph"/>
        <w:numPr>
          <w:ilvl w:val="0"/>
          <w:numId w:val="2"/>
        </w:numPr>
        <w:jc w:val="both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Относительная количественная ОТ-ПЦР с нормировкой на референсные гены является оптимальным методом измерения экспрессии TOP2A, обеспечивая высокую чувствительность и воспроизводимость при соблюдении системы контролей.</w:t>
      </w:r>
    </w:p>
    <w:p>
      <w:pPr>
        <w:pStyle w:val="ListParagraph"/>
        <w:numPr>
          <w:ilvl w:val="0"/>
          <w:numId w:val="2"/>
        </w:numPr>
        <w:jc w:val="both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Разработанный алгоритм — биоинформатический подбор праймеров на стыке экзонов, их синтез и очистка, выделение РНК, обратная транскрипция и постановка количественной ПЦР — пригоден для практического анализа экспрессии гена TOP2A.</w:t>
      </w:r>
    </w:p>
    <w:p>
      <w:pPr>
        <w:pStyle w:val="Heading1"/>
        <w:pageBreakBefore/>
        <w:jc w:val="center"/>
        <w:spacing w:before="240" w:after="240" w:line="360" w:lineRule="auto"/>
      </w:pPr>
      <w:r>
        <w:rPr>
          <w:rFonts w:ascii="Times New Roman" w:hAnsi="Times New Roman" w:cs="Times New Roman"/>
          <w:b/>
          <w:sz w:val="32"/>
          <w:szCs w:val="32"/>
        </w:rPr>
        <w:t xml:space="preserve">СПИСОК ИСПОЛЬЗОВАННЫХ ИСТОЧНИКОВ</w:t>
      </w:r>
    </w:p>
    <w:p>
      <w:pPr>
        <w:numPr>
          <w:ilvl w:val="0"/>
          <w:numId w:val="3"/>
        </w:numPr>
        <w:jc w:val="both"/>
        <w:spacing w:after="60" w:line="312" w:lineRule="auto"/>
        <w:ind w:left="567" w:hanging="567"/>
      </w:pPr>
      <w:r>
        <w:rPr>
          <w:rFonts w:ascii="Times New Roman" w:hAnsi="Times New Roman" w:cs="Times New Roman"/>
          <w:sz w:val="26"/>
          <w:szCs w:val="26"/>
        </w:rPr>
        <w:t xml:space="preserve">Wang J. C. Cellular roles of DNA topoisomerases: a molecular perspective // Nature Reviews Molecular Cell Biology. — 2002. — Vol. 3, No. 6. — P. 430–440.</w:t>
      </w:r>
    </w:p>
    <w:p>
      <w:pPr>
        <w:numPr>
          <w:ilvl w:val="0"/>
          <w:numId w:val="3"/>
        </w:numPr>
        <w:jc w:val="both"/>
        <w:spacing w:after="60" w:line="312" w:lineRule="auto"/>
        <w:ind w:left="567" w:hanging="567"/>
      </w:pPr>
      <w:r>
        <w:rPr>
          <w:rFonts w:ascii="Times New Roman" w:hAnsi="Times New Roman" w:cs="Times New Roman"/>
          <w:sz w:val="26"/>
          <w:szCs w:val="26"/>
        </w:rPr>
        <w:t xml:space="preserve">Nitiss J. L. Targeting DNA topoisomerase II in cancer chemotherapy // Nature Reviews Cancer. — 2009. — Vol. 9, No. 5. — P. 338–350.</w:t>
      </w:r>
    </w:p>
    <w:p>
      <w:pPr>
        <w:numPr>
          <w:ilvl w:val="0"/>
          <w:numId w:val="3"/>
        </w:numPr>
        <w:jc w:val="both"/>
        <w:spacing w:after="60" w:line="312" w:lineRule="auto"/>
        <w:ind w:left="567" w:hanging="567"/>
      </w:pPr>
      <w:r>
        <w:rPr>
          <w:rFonts w:ascii="Times New Roman" w:hAnsi="Times New Roman" w:cs="Times New Roman"/>
          <w:sz w:val="26"/>
          <w:szCs w:val="26"/>
        </w:rPr>
        <w:t xml:space="preserve">Mullis K. B., Faloona F. A. Specific synthesis of DNA in vitro via a polymerase-catalyzed chain reaction // Methods in Enzymology. — 1987. — Vol. 155. — P. 335–350.</w:t>
      </w:r>
    </w:p>
    <w:p>
      <w:pPr>
        <w:numPr>
          <w:ilvl w:val="0"/>
          <w:numId w:val="3"/>
        </w:numPr>
        <w:jc w:val="both"/>
        <w:spacing w:after="60" w:line="312" w:lineRule="auto"/>
        <w:ind w:left="567" w:hanging="567"/>
      </w:pPr>
      <w:r>
        <w:rPr>
          <w:rFonts w:ascii="Times New Roman" w:hAnsi="Times New Roman" w:cs="Times New Roman"/>
          <w:sz w:val="26"/>
          <w:szCs w:val="26"/>
        </w:rPr>
        <w:t xml:space="preserve">Bustin S. A. Absolute quantification of mRNA using real-time reverse transcription polymerase chain reaction assays // Journal of Molecular Endocrinology. — 2000. — Vol. 25, No. 2. — P. 169–193.</w:t>
      </w:r>
    </w:p>
    <w:p>
      <w:pPr>
        <w:numPr>
          <w:ilvl w:val="0"/>
          <w:numId w:val="3"/>
        </w:numPr>
        <w:jc w:val="both"/>
        <w:spacing w:after="60" w:line="312" w:lineRule="auto"/>
        <w:ind w:left="567" w:hanging="567"/>
      </w:pPr>
      <w:r>
        <w:rPr>
          <w:rFonts w:ascii="Times New Roman" w:hAnsi="Times New Roman" w:cs="Times New Roman"/>
          <w:sz w:val="26"/>
          <w:szCs w:val="26"/>
        </w:rPr>
        <w:t xml:space="preserve">Beaucage S. L., Caruthers M. H. Deoxynucleoside phosphoramidites — a new class of key intermediates for deoxypolynucleotide synthesis // Tetrahedron Letters. — 1981. — Vol. 22, No. 20. — P. 1859–1862.</w:t>
      </w:r>
    </w:p>
    <w:p>
      <w:pPr>
        <w:numPr>
          <w:ilvl w:val="0"/>
          <w:numId w:val="3"/>
        </w:numPr>
        <w:jc w:val="both"/>
        <w:spacing w:after="60" w:line="312" w:lineRule="auto"/>
        <w:ind w:left="567" w:hanging="567"/>
      </w:pPr>
      <w:r>
        <w:rPr>
          <w:rFonts w:ascii="Times New Roman" w:hAnsi="Times New Roman" w:cs="Times New Roman"/>
          <w:sz w:val="26"/>
          <w:szCs w:val="26"/>
        </w:rPr>
        <w:t xml:space="preserve">Caruthers M. H. The chemical synthesis of DNA/RNA: our gift to science // Journal of Biological Chemistry. — 2013. — Vol. 288, No. 2. — P. 1420–1427.</w:t>
      </w:r>
    </w:p>
    <w:p>
      <w:pPr>
        <w:numPr>
          <w:ilvl w:val="0"/>
          <w:numId w:val="3"/>
        </w:numPr>
        <w:jc w:val="both"/>
        <w:spacing w:after="60" w:line="312" w:lineRule="auto"/>
        <w:ind w:left="567" w:hanging="567"/>
      </w:pPr>
      <w:r>
        <w:rPr>
          <w:rFonts w:ascii="Times New Roman" w:hAnsi="Times New Roman" w:cs="Times New Roman"/>
          <w:sz w:val="26"/>
          <w:szCs w:val="26"/>
        </w:rPr>
        <w:t xml:space="preserve">Champoux J. J. DNA topoisomerases: structure, function, and mechanism // Annual Review of Biochemistry. — 2001. — Vol. 70. — P. 369–413.</w:t>
      </w:r>
    </w:p>
    <w:p>
      <w:pPr>
        <w:numPr>
          <w:ilvl w:val="0"/>
          <w:numId w:val="3"/>
        </w:numPr>
        <w:jc w:val="both"/>
        <w:spacing w:after="60" w:line="312" w:lineRule="auto"/>
        <w:ind w:left="567" w:hanging="567"/>
      </w:pPr>
      <w:r>
        <w:rPr>
          <w:rFonts w:ascii="Times New Roman" w:hAnsi="Times New Roman" w:cs="Times New Roman"/>
          <w:sz w:val="26"/>
          <w:szCs w:val="26"/>
        </w:rPr>
        <w:t xml:space="preserve">Nitiss J. L. DNA topoisomerase II and its growing repertoire of biological functions // Nature Reviews Cancer. — 2009. — Vol. 9, No. 5. — P. 327–337.</w:t>
      </w:r>
    </w:p>
    <w:p>
      <w:pPr>
        <w:numPr>
          <w:ilvl w:val="0"/>
          <w:numId w:val="3"/>
        </w:numPr>
        <w:jc w:val="both"/>
        <w:spacing w:after="60" w:line="312" w:lineRule="auto"/>
        <w:ind w:left="567" w:hanging="567"/>
      </w:pPr>
      <w:r>
        <w:rPr>
          <w:rFonts w:ascii="Times New Roman" w:hAnsi="Times New Roman" w:cs="Times New Roman"/>
          <w:sz w:val="26"/>
          <w:szCs w:val="26"/>
        </w:rPr>
        <w:t xml:space="preserve">Tsai-Pflugfelder M. et al. Cloning and sequencing of cDNA encoding human DNA topoisomerase II and localization of the gene to chromosome region 17q21–22 // Proceedings of the National Academy of Sciences USA. — 1988. — Vol. 85, No. 19. — P. 7177–7181.</w:t>
      </w:r>
    </w:p>
    <w:p>
      <w:pPr>
        <w:numPr>
          <w:ilvl w:val="0"/>
          <w:numId w:val="3"/>
        </w:numPr>
        <w:jc w:val="both"/>
        <w:spacing w:after="60" w:line="312" w:lineRule="auto"/>
        <w:ind w:left="567" w:hanging="567"/>
      </w:pPr>
      <w:r>
        <w:rPr>
          <w:rFonts w:ascii="Times New Roman" w:hAnsi="Times New Roman" w:cs="Times New Roman"/>
          <w:sz w:val="26"/>
          <w:szCs w:val="26"/>
        </w:rPr>
        <w:t xml:space="preserve">Gait M. J. (ed.). Oligonucleotide Synthesis: A Practical Approach. — Oxford: IRL Press, 1984. — 217 p.</w:t>
      </w:r>
    </w:p>
    <w:p>
      <w:pPr>
        <w:numPr>
          <w:ilvl w:val="0"/>
          <w:numId w:val="3"/>
        </w:numPr>
        <w:jc w:val="both"/>
        <w:spacing w:after="60" w:line="312" w:lineRule="auto"/>
        <w:ind w:left="567" w:hanging="567"/>
      </w:pPr>
      <w:r>
        <w:rPr>
          <w:rFonts w:ascii="Times New Roman" w:hAnsi="Times New Roman" w:cs="Times New Roman"/>
          <w:sz w:val="26"/>
          <w:szCs w:val="26"/>
        </w:rPr>
        <w:t xml:space="preserve">Järvinen T. A. et al. Amplification and deletion of topoisomerase IIα associate with ErbB-2 amplification and affect sensitivity to topoisomerase II inhibitor doxorubicin in breast cancer // American Journal of Pathology. — 2000. — Vol. 156, No. 3. — P. 839–847.</w:t>
      </w:r>
    </w:p>
    <w:p>
      <w:pPr>
        <w:numPr>
          <w:ilvl w:val="0"/>
          <w:numId w:val="3"/>
        </w:numPr>
        <w:jc w:val="both"/>
        <w:spacing w:after="60" w:line="312" w:lineRule="auto"/>
        <w:ind w:left="567" w:hanging="567"/>
      </w:pPr>
      <w:r>
        <w:rPr>
          <w:rFonts w:ascii="Times New Roman" w:hAnsi="Times New Roman" w:cs="Times New Roman"/>
          <w:sz w:val="26"/>
          <w:szCs w:val="26"/>
        </w:rPr>
        <w:t xml:space="preserve">Matteucci M. D., Caruthers M. H. Synthesis of deoxyoligonucleotides on a polymer support // Journal of the American Chemical Society. — 1981. — Vol. 103, No. 11. — P. 3185–3191.</w:t>
      </w:r>
    </w:p>
    <w:p>
      <w:pPr>
        <w:numPr>
          <w:ilvl w:val="0"/>
          <w:numId w:val="3"/>
        </w:numPr>
        <w:jc w:val="both"/>
        <w:spacing w:after="60" w:line="312" w:lineRule="auto"/>
        <w:ind w:left="567" w:hanging="567"/>
      </w:pPr>
      <w:r>
        <w:rPr>
          <w:rFonts w:ascii="Times New Roman" w:hAnsi="Times New Roman" w:cs="Times New Roman"/>
          <w:sz w:val="26"/>
          <w:szCs w:val="26"/>
        </w:rPr>
        <w:t xml:space="preserve">Saiki R. K. et al. Primer-directed enzymatic amplification of DNA with a thermostable DNA polymerase // Science. — 1988. — Vol. 239, No. 4839. — P. 487–491.</w:t>
      </w:r>
    </w:p>
    <w:p>
      <w:pPr>
        <w:numPr>
          <w:ilvl w:val="0"/>
          <w:numId w:val="3"/>
        </w:numPr>
        <w:jc w:val="both"/>
        <w:spacing w:after="60" w:line="312" w:lineRule="auto"/>
        <w:ind w:left="567" w:hanging="567"/>
      </w:pPr>
      <w:r>
        <w:rPr>
          <w:rFonts w:ascii="Times New Roman" w:hAnsi="Times New Roman" w:cs="Times New Roman"/>
          <w:sz w:val="26"/>
          <w:szCs w:val="26"/>
        </w:rPr>
        <w:t xml:space="preserve">Sambrook J., Russell D. W. Molecular Cloning: A Laboratory Manual. — 3rd ed. — Cold Spring Harbor: CSHL Press, 2001. — 2344 p.</w:t>
      </w:r>
    </w:p>
    <w:p>
      <w:pPr>
        <w:numPr>
          <w:ilvl w:val="0"/>
          <w:numId w:val="3"/>
        </w:numPr>
        <w:jc w:val="both"/>
        <w:spacing w:after="60" w:line="312" w:lineRule="auto"/>
        <w:ind w:left="567" w:hanging="567"/>
      </w:pPr>
      <w:r>
        <w:rPr>
          <w:rFonts w:ascii="Times New Roman" w:hAnsi="Times New Roman" w:cs="Times New Roman"/>
          <w:sz w:val="26"/>
          <w:szCs w:val="26"/>
        </w:rPr>
        <w:t xml:space="preserve">Järvinen T. A., Liu E. T. HER-2/neu and topoisomerase IIα in breast cancer // Breast Cancer Research and Treatment. — 2003. — Vol. 78, No. 3. — P. 299–311.</w:t>
      </w:r>
    </w:p>
    <w:p>
      <w:pPr>
        <w:numPr>
          <w:ilvl w:val="0"/>
          <w:numId w:val="3"/>
        </w:numPr>
        <w:jc w:val="both"/>
        <w:spacing w:after="60" w:line="312" w:lineRule="auto"/>
        <w:ind w:left="567" w:hanging="567"/>
      </w:pPr>
      <w:r>
        <w:rPr>
          <w:rFonts w:ascii="Times New Roman" w:hAnsi="Times New Roman" w:cs="Times New Roman"/>
          <w:sz w:val="26"/>
          <w:szCs w:val="26"/>
        </w:rPr>
        <w:t xml:space="preserve">Livak K. J., Schmittgen T. D. Analysis of relative gene expression data using real-time quantitative PCR and the 2^(−ΔΔCt) method // Methods. — 2001. — Vol. 25, No. 4. — P. 402–408.</w:t>
      </w:r>
    </w:p>
    <w:p>
      <w:pPr>
        <w:numPr>
          <w:ilvl w:val="0"/>
          <w:numId w:val="3"/>
        </w:numPr>
        <w:jc w:val="both"/>
        <w:spacing w:after="60" w:line="312" w:lineRule="auto"/>
        <w:ind w:left="567" w:hanging="567"/>
      </w:pPr>
      <w:r>
        <w:rPr>
          <w:rFonts w:ascii="Times New Roman" w:hAnsi="Times New Roman" w:cs="Times New Roman"/>
          <w:sz w:val="26"/>
          <w:szCs w:val="26"/>
        </w:rPr>
        <w:t xml:space="preserve">Ye J. et al. Primer-BLAST: a tool to design target-specific primers for polymerase chain reaction // BMC Bioinformatics. — 2012. — Vol. 13. — Art. 134.</w:t>
      </w:r>
    </w:p>
    <w:p>
      <w:pPr>
        <w:numPr>
          <w:ilvl w:val="0"/>
          <w:numId w:val="3"/>
        </w:numPr>
        <w:jc w:val="both"/>
        <w:spacing w:after="60" w:line="312" w:lineRule="auto"/>
        <w:ind w:left="567" w:hanging="567"/>
      </w:pPr>
      <w:r>
        <w:rPr>
          <w:rFonts w:ascii="Times New Roman" w:hAnsi="Times New Roman" w:cs="Times New Roman"/>
          <w:sz w:val="26"/>
          <w:szCs w:val="26"/>
        </w:rPr>
        <w:t xml:space="preserve">Khvorova A., Watts J. K. The chemical evolution of oligonucleotide therapies of clinical utility // Nature Biotechnology. — 2017. — Vol. 35, No. 3. — P. 238–248.</w:t>
      </w:r>
    </w:p>
    <w:p>
      <w:pPr>
        <w:numPr>
          <w:ilvl w:val="0"/>
          <w:numId w:val="3"/>
        </w:numPr>
        <w:jc w:val="both"/>
        <w:spacing w:after="60" w:line="312" w:lineRule="auto"/>
        <w:ind w:left="567" w:hanging="567"/>
      </w:pPr>
      <w:r>
        <w:rPr>
          <w:rFonts w:ascii="Times New Roman" w:hAnsi="Times New Roman" w:cs="Times New Roman"/>
          <w:sz w:val="26"/>
          <w:szCs w:val="26"/>
        </w:rPr>
        <w:t xml:space="preserve">Caruthers M. H. Gene synthesis machines: DNA chemistry and its uses // Science. — 1985. — Vol. 230, No. 4723. — P. 281–285.</w:t>
      </w:r>
    </w:p>
    <w:p>
      <w:pPr>
        <w:numPr>
          <w:ilvl w:val="0"/>
          <w:numId w:val="3"/>
        </w:numPr>
        <w:jc w:val="both"/>
        <w:spacing w:after="60" w:line="312" w:lineRule="auto"/>
        <w:ind w:left="567" w:hanging="567"/>
      </w:pPr>
      <w:r>
        <w:rPr>
          <w:rFonts w:ascii="Times New Roman" w:hAnsi="Times New Roman" w:cs="Times New Roman"/>
          <w:sz w:val="26"/>
          <w:szCs w:val="26"/>
        </w:rPr>
        <w:t xml:space="preserve">Sinha N. D., Biernat J., McManus J., Köster H. Polymer support oligonucleotide synthesis XVIII: use of β-cyanoethyl-N,N-dialkylamino phosphoramidites // Nucleic Acids Research. — 1984. — Vol. 12, No. 11. — P. 4539–4557.</w:t>
      </w:r>
    </w:p>
    <w:p>
      <w:pPr>
        <w:numPr>
          <w:ilvl w:val="0"/>
          <w:numId w:val="3"/>
        </w:numPr>
        <w:jc w:val="both"/>
        <w:spacing w:after="60" w:line="312" w:lineRule="auto"/>
        <w:ind w:left="567" w:hanging="567"/>
      </w:pPr>
      <w:r>
        <w:rPr>
          <w:rFonts w:ascii="Times New Roman" w:hAnsi="Times New Roman" w:cs="Times New Roman"/>
          <w:sz w:val="26"/>
          <w:szCs w:val="26"/>
        </w:rPr>
        <w:t xml:space="preserve">Beaucage S. L., Iyer R. P. Advances in the synthesis of oligonucleotides by the phosphoramidite approach // Tetrahedron. — 1992. — Vol. 48, No. 12. — P. 2223–2311.</w:t>
      </w:r>
    </w:p>
    <w:p>
      <w:pPr>
        <w:numPr>
          <w:ilvl w:val="0"/>
          <w:numId w:val="3"/>
        </w:numPr>
        <w:jc w:val="both"/>
        <w:spacing w:after="60" w:line="312" w:lineRule="auto"/>
        <w:ind w:left="567" w:hanging="567"/>
      </w:pPr>
      <w:r>
        <w:rPr>
          <w:rFonts w:ascii="Times New Roman" w:hAnsi="Times New Roman" w:cs="Times New Roman"/>
          <w:sz w:val="26"/>
          <w:szCs w:val="26"/>
        </w:rPr>
        <w:t xml:space="preserve">Reese C. B. Oligo- and poly-nucleotides: 50 years of chemical synthesis // Organic &amp; Biomolecular Chemistry. — 2005. — Vol. 3, No. 21. — P. 3851–3868.</w:t>
      </w:r>
    </w:p>
    <w:p>
      <w:pPr>
        <w:numPr>
          <w:ilvl w:val="0"/>
          <w:numId w:val="3"/>
        </w:numPr>
        <w:jc w:val="both"/>
        <w:spacing w:after="60" w:line="312" w:lineRule="auto"/>
        <w:ind w:left="567" w:hanging="567"/>
      </w:pPr>
      <w:r>
        <w:rPr>
          <w:rFonts w:ascii="Times New Roman" w:hAnsi="Times New Roman" w:cs="Times New Roman"/>
          <w:sz w:val="26"/>
          <w:szCs w:val="26"/>
        </w:rPr>
        <w:t xml:space="preserve">Hughes R. A., Ellington A. D. Synthetic DNA synthesis and assembly: putting the synthetic in synthetic biology // Cold Spring Harbor Perspectives in Biology. — 2017. — Vol. 9, No. 1. — Art. a023812.</w:t>
      </w:r>
    </w:p>
    <w:p>
      <w:pPr>
        <w:numPr>
          <w:ilvl w:val="0"/>
          <w:numId w:val="3"/>
        </w:numPr>
        <w:jc w:val="both"/>
        <w:spacing w:after="60" w:line="312" w:lineRule="auto"/>
        <w:ind w:left="567" w:hanging="567"/>
      </w:pPr>
      <w:r>
        <w:rPr>
          <w:rFonts w:ascii="Times New Roman" w:hAnsi="Times New Roman" w:cs="Times New Roman"/>
          <w:sz w:val="26"/>
          <w:szCs w:val="26"/>
        </w:rPr>
        <w:t xml:space="preserve">Kosuri S., Church G. M. Large-scale de novo DNA synthesis: technologies and applications // Nature Methods. — 2014. — Vol. 11, No. 5. — P. 499–507.</w:t>
      </w:r>
    </w:p>
    <w:p>
      <w:pPr>
        <w:numPr>
          <w:ilvl w:val="0"/>
          <w:numId w:val="3"/>
        </w:numPr>
        <w:jc w:val="both"/>
        <w:spacing w:after="60" w:line="312" w:lineRule="auto"/>
        <w:ind w:left="567" w:hanging="567"/>
      </w:pPr>
      <w:r>
        <w:rPr>
          <w:rFonts w:ascii="Times New Roman" w:hAnsi="Times New Roman" w:cs="Times New Roman"/>
          <w:sz w:val="26"/>
          <w:szCs w:val="26"/>
        </w:rPr>
        <w:t xml:space="preserve">Roy S., Caruthers M. Synthesis of DNA/RNA and their analogs via phosphoramidite and H-phosphonate chemistries // Molecules. — 2013. — Vol. 18, No. 11. — P. 14268–14284.</w:t>
      </w:r>
    </w:p>
    <w:p>
      <w:pPr>
        <w:numPr>
          <w:ilvl w:val="0"/>
          <w:numId w:val="3"/>
        </w:numPr>
        <w:jc w:val="both"/>
        <w:spacing w:after="60" w:line="312" w:lineRule="auto"/>
        <w:ind w:left="567" w:hanging="567"/>
      </w:pPr>
      <w:r>
        <w:rPr>
          <w:rFonts w:ascii="Times New Roman" w:hAnsi="Times New Roman" w:cs="Times New Roman"/>
          <w:sz w:val="26"/>
          <w:szCs w:val="26"/>
        </w:rPr>
        <w:t xml:space="preserve">Berger J. M., Gamblin S. J., Harrison S. C., Wang J. C. Structure and mechanism of DNA topoisomerase II // Nature. — 1996. — Vol. 379, No. 6562. — P. 225–232.</w:t>
      </w:r>
    </w:p>
    <w:p>
      <w:pPr>
        <w:numPr>
          <w:ilvl w:val="0"/>
          <w:numId w:val="3"/>
        </w:numPr>
        <w:jc w:val="both"/>
        <w:spacing w:after="60" w:line="312" w:lineRule="auto"/>
        <w:ind w:left="567" w:hanging="567"/>
      </w:pPr>
      <w:r>
        <w:rPr>
          <w:rFonts w:ascii="Times New Roman" w:hAnsi="Times New Roman" w:cs="Times New Roman"/>
          <w:sz w:val="26"/>
          <w:szCs w:val="26"/>
        </w:rPr>
        <w:t xml:space="preserve">Wang J. C. Untangling the Double Helix: DNA Entanglement and the Action of the DNA Topoisomerases. — Cold Spring Harbor: CSHL Press, 2009. — 245 p.</w:t>
      </w:r>
    </w:p>
    <w:p>
      <w:pPr>
        <w:numPr>
          <w:ilvl w:val="0"/>
          <w:numId w:val="3"/>
        </w:numPr>
        <w:jc w:val="both"/>
        <w:spacing w:after="60" w:line="312" w:lineRule="auto"/>
        <w:ind w:left="567" w:hanging="567"/>
      </w:pPr>
      <w:r>
        <w:rPr>
          <w:rFonts w:ascii="Times New Roman" w:hAnsi="Times New Roman" w:cs="Times New Roman"/>
          <w:sz w:val="26"/>
          <w:szCs w:val="26"/>
        </w:rPr>
        <w:t xml:space="preserve">Deweese J. E., Osheroff N. The DNA cleavage reaction of topoisomerase II: wolf in sheep's clothing // Nucleic Acids Research. — 2009. — Vol. 37, No. 3. — P. 738–748.</w:t>
      </w:r>
    </w:p>
    <w:p>
      <w:pPr>
        <w:numPr>
          <w:ilvl w:val="0"/>
          <w:numId w:val="3"/>
        </w:numPr>
        <w:jc w:val="both"/>
        <w:spacing w:after="60" w:line="312" w:lineRule="auto"/>
        <w:ind w:left="567" w:hanging="567"/>
      </w:pPr>
      <w:r>
        <w:rPr>
          <w:rFonts w:ascii="Times New Roman" w:hAnsi="Times New Roman" w:cs="Times New Roman"/>
          <w:sz w:val="26"/>
          <w:szCs w:val="26"/>
        </w:rPr>
        <w:t xml:space="preserve">Pommier Y., Leo E., Zhang H., Marchand C. DNA topoisomerases and their poisoning by anticancer and antibacterial drugs // Chemistry &amp; Biology. — 2010. — Vol. 17, No. 5. — P. 421–433.</w:t>
      </w:r>
    </w:p>
    <w:p>
      <w:pPr>
        <w:numPr>
          <w:ilvl w:val="0"/>
          <w:numId w:val="3"/>
        </w:numPr>
        <w:jc w:val="both"/>
        <w:spacing w:after="60" w:line="312" w:lineRule="auto"/>
        <w:ind w:left="567" w:hanging="567"/>
      </w:pPr>
      <w:r>
        <w:rPr>
          <w:rFonts w:ascii="Times New Roman" w:hAnsi="Times New Roman" w:cs="Times New Roman"/>
          <w:sz w:val="26"/>
          <w:szCs w:val="26"/>
        </w:rPr>
        <w:t xml:space="preserve">Vos S. M., Tretter E. M., Schmidt B. H., Berger J. M. All tangled up: how cells direct, manage and exploit topoisomerase function // Nature Reviews Molecular Cell Biology. — 2011. — Vol. 12, No. 12. — P. 827–841.</w:t>
      </w:r>
    </w:p>
    <w:p>
      <w:pPr>
        <w:numPr>
          <w:ilvl w:val="0"/>
          <w:numId w:val="3"/>
        </w:numPr>
        <w:jc w:val="both"/>
        <w:spacing w:after="60" w:line="312" w:lineRule="auto"/>
        <w:ind w:left="567" w:hanging="567"/>
      </w:pPr>
      <w:r>
        <w:rPr>
          <w:rFonts w:ascii="Times New Roman" w:hAnsi="Times New Roman" w:cs="Times New Roman"/>
          <w:sz w:val="26"/>
          <w:szCs w:val="26"/>
        </w:rPr>
        <w:t xml:space="preserve">Austin C. A., Marsh K. L. Eukaryotic DNA topoisomerase IIβ // BioEssays. — 1998. — Vol. 20, No. 3. — P. 215–226.</w:t>
      </w:r>
    </w:p>
    <w:p>
      <w:pPr>
        <w:numPr>
          <w:ilvl w:val="0"/>
          <w:numId w:val="3"/>
        </w:numPr>
        <w:jc w:val="both"/>
        <w:spacing w:after="60" w:line="312" w:lineRule="auto"/>
        <w:ind w:left="567" w:hanging="567"/>
      </w:pPr>
      <w:r>
        <w:rPr>
          <w:rFonts w:ascii="Times New Roman" w:hAnsi="Times New Roman" w:cs="Times New Roman"/>
          <w:sz w:val="26"/>
          <w:szCs w:val="26"/>
        </w:rPr>
        <w:t xml:space="preserve">Coon J. S. et al. Amplification and overexpression of topoisomerase IIα predict response to anthracycline-based therapy // Clinical Cancer Research. — 2002. — Vol. 8, No. 4. — P. 1061–1067.</w:t>
      </w:r>
    </w:p>
    <w:p>
      <w:pPr>
        <w:numPr>
          <w:ilvl w:val="0"/>
          <w:numId w:val="3"/>
        </w:numPr>
        <w:jc w:val="both"/>
        <w:spacing w:after="60" w:line="312" w:lineRule="auto"/>
        <w:ind w:left="567" w:hanging="567"/>
      </w:pPr>
      <w:r>
        <w:rPr>
          <w:rFonts w:ascii="Times New Roman" w:hAnsi="Times New Roman" w:cs="Times New Roman"/>
          <w:sz w:val="26"/>
          <w:szCs w:val="26"/>
        </w:rPr>
        <w:t xml:space="preserve">Burgess D. J. et al. Topoisomerase levels determine chemotherapy response in vitro and in vivo // Proceedings of the National Academy of Sciences USA. — 2008. — Vol. 105, No. 26. — P. 9053–9058.</w:t>
      </w:r>
    </w:p>
    <w:p>
      <w:pPr>
        <w:numPr>
          <w:ilvl w:val="0"/>
          <w:numId w:val="3"/>
        </w:numPr>
        <w:jc w:val="both"/>
        <w:spacing w:after="60" w:line="312" w:lineRule="auto"/>
        <w:ind w:left="567" w:hanging="567"/>
      </w:pPr>
      <w:r>
        <w:rPr>
          <w:rFonts w:ascii="Times New Roman" w:hAnsi="Times New Roman" w:cs="Times New Roman"/>
          <w:sz w:val="26"/>
          <w:szCs w:val="26"/>
        </w:rPr>
        <w:t xml:space="preserve">Lee J. H., Berger J. M. Cell cycle-dependent control and roles of DNA topoisomerase II // Genes. — 2019. — Vol. 10, No. 11. — Art. 859.</w:t>
      </w:r>
    </w:p>
    <w:p>
      <w:pPr>
        <w:numPr>
          <w:ilvl w:val="0"/>
          <w:numId w:val="3"/>
        </w:numPr>
        <w:jc w:val="both"/>
        <w:spacing w:after="60" w:line="312" w:lineRule="auto"/>
        <w:ind w:left="567" w:hanging="567"/>
      </w:pPr>
      <w:r>
        <w:rPr>
          <w:rFonts w:ascii="Times New Roman" w:hAnsi="Times New Roman" w:cs="Times New Roman"/>
          <w:sz w:val="26"/>
          <w:szCs w:val="26"/>
        </w:rPr>
        <w:t xml:space="preserve">McClendon A. K., Osheroff N. DNA topoisomerase II, genotoxicity, and cancer // Mutation Research. — 2007. — Vol. 623, No. 1–2. — P. 83–97.</w:t>
      </w:r>
    </w:p>
    <w:p>
      <w:pPr>
        <w:numPr>
          <w:ilvl w:val="0"/>
          <w:numId w:val="3"/>
        </w:numPr>
        <w:jc w:val="both"/>
        <w:spacing w:after="60" w:line="312" w:lineRule="auto"/>
        <w:ind w:left="567" w:hanging="567"/>
      </w:pPr>
      <w:r>
        <w:rPr>
          <w:rFonts w:ascii="Times New Roman" w:hAnsi="Times New Roman" w:cs="Times New Roman"/>
          <w:sz w:val="26"/>
          <w:szCs w:val="26"/>
        </w:rPr>
        <w:t xml:space="preserve">Saiki R. K. et al. Enzymatic amplification of β-globin genomic sequences and restriction site analysis for diagnosis of sickle cell anemia // Science. — 1985. — Vol. 230, No. 4732. — P. 1350–1354.</w:t>
      </w:r>
    </w:p>
    <w:p>
      <w:pPr>
        <w:numPr>
          <w:ilvl w:val="0"/>
          <w:numId w:val="3"/>
        </w:numPr>
        <w:jc w:val="both"/>
        <w:spacing w:after="60" w:line="312" w:lineRule="auto"/>
        <w:ind w:left="567" w:hanging="567"/>
      </w:pPr>
      <w:r>
        <w:rPr>
          <w:rFonts w:ascii="Times New Roman" w:hAnsi="Times New Roman" w:cs="Times New Roman"/>
          <w:sz w:val="26"/>
          <w:szCs w:val="26"/>
        </w:rPr>
        <w:t xml:space="preserve">Higuchi R. et al. Kinetic PCR analysis: real-time monitoring of DNA amplification reactions // Bio/Technology. — 1993. — Vol. 11, No. 9. — P. 1026–1030.</w:t>
      </w:r>
    </w:p>
    <w:p>
      <w:pPr>
        <w:numPr>
          <w:ilvl w:val="0"/>
          <w:numId w:val="3"/>
        </w:numPr>
        <w:jc w:val="both"/>
        <w:spacing w:after="60" w:line="312" w:lineRule="auto"/>
        <w:ind w:left="567" w:hanging="567"/>
      </w:pPr>
      <w:r>
        <w:rPr>
          <w:rFonts w:ascii="Times New Roman" w:hAnsi="Times New Roman" w:cs="Times New Roman"/>
          <w:sz w:val="26"/>
          <w:szCs w:val="26"/>
        </w:rPr>
        <w:t xml:space="preserve">Heid C. A. et al. Real time quantitative PCR // Genome Research. — 1996. — Vol. 6, No. 10. — P. 986–994.</w:t>
      </w:r>
    </w:p>
    <w:p>
      <w:pPr>
        <w:numPr>
          <w:ilvl w:val="0"/>
          <w:numId w:val="3"/>
        </w:numPr>
        <w:jc w:val="both"/>
        <w:spacing w:after="60" w:line="312" w:lineRule="auto"/>
        <w:ind w:left="567" w:hanging="567"/>
      </w:pPr>
      <w:r>
        <w:rPr>
          <w:rFonts w:ascii="Times New Roman" w:hAnsi="Times New Roman" w:cs="Times New Roman"/>
          <w:sz w:val="26"/>
          <w:szCs w:val="26"/>
        </w:rPr>
        <w:t xml:space="preserve">Bustin S. A. et al. The MIQE guidelines: minimum information for publication of quantitative real-time PCR experiments // Clinical Chemistry. — 2009. — Vol. 55, No. 4. — P. 611–622.</w:t>
      </w:r>
    </w:p>
    <w:p>
      <w:pPr>
        <w:numPr>
          <w:ilvl w:val="0"/>
          <w:numId w:val="3"/>
        </w:numPr>
        <w:jc w:val="both"/>
        <w:spacing w:after="60" w:line="312" w:lineRule="auto"/>
        <w:ind w:left="567" w:hanging="567"/>
      </w:pPr>
      <w:r>
        <w:rPr>
          <w:rFonts w:ascii="Times New Roman" w:hAnsi="Times New Roman" w:cs="Times New Roman"/>
          <w:sz w:val="26"/>
          <w:szCs w:val="26"/>
        </w:rPr>
        <w:t xml:space="preserve">Pfaffl M. W. A new mathematical model for relative quantification in real-time RT-PCR // Nucleic Acids Research. — 2001. — Vol. 29, No. 9. — Art. e45.</w:t>
      </w:r>
    </w:p>
    <w:p>
      <w:pPr>
        <w:numPr>
          <w:ilvl w:val="0"/>
          <w:numId w:val="3"/>
        </w:numPr>
        <w:jc w:val="both"/>
        <w:spacing w:after="60" w:line="312" w:lineRule="auto"/>
        <w:ind w:left="567" w:hanging="567"/>
      </w:pPr>
      <w:r>
        <w:rPr>
          <w:rFonts w:ascii="Times New Roman" w:hAnsi="Times New Roman" w:cs="Times New Roman"/>
          <w:sz w:val="26"/>
          <w:szCs w:val="26"/>
        </w:rPr>
        <w:t xml:space="preserve">Nolan T., Hands R. E., Bustin S. A. Quantification of mRNA using real-time RT-PCR // Nature Protocols. — 2006. — Vol. 1, No. 3. — P. 1559–1582.</w:t>
      </w:r>
    </w:p>
    <w:p>
      <w:pPr>
        <w:numPr>
          <w:ilvl w:val="0"/>
          <w:numId w:val="3"/>
        </w:numPr>
        <w:jc w:val="both"/>
        <w:spacing w:after="60" w:line="312" w:lineRule="auto"/>
        <w:ind w:left="567" w:hanging="567"/>
      </w:pPr>
      <w:r>
        <w:rPr>
          <w:rFonts w:ascii="Times New Roman" w:hAnsi="Times New Roman" w:cs="Times New Roman"/>
          <w:sz w:val="26"/>
          <w:szCs w:val="26"/>
        </w:rPr>
        <w:t xml:space="preserve">VanGuilder H. D., Vrana K. E., Freeman W. M. Twenty-five years of quantitative PCR for gene expression analysis // BioTechniques. — 2008. — Vol. 44, No. 5. — P. 619–626.</w:t>
      </w:r>
    </w:p>
    <w:p>
      <w:pPr>
        <w:numPr>
          <w:ilvl w:val="0"/>
          <w:numId w:val="3"/>
        </w:numPr>
        <w:jc w:val="both"/>
        <w:spacing w:after="60" w:line="312" w:lineRule="auto"/>
        <w:ind w:left="567" w:hanging="567"/>
      </w:pPr>
      <w:r>
        <w:rPr>
          <w:rFonts w:ascii="Times New Roman" w:hAnsi="Times New Roman" w:cs="Times New Roman"/>
          <w:sz w:val="26"/>
          <w:szCs w:val="26"/>
        </w:rPr>
        <w:t xml:space="preserve">Vandesompele J. et al. Accurate normalization of real-time quantitative RT-PCR data by geometric averaging of multiple internal control genes // Genome Biology. — 2002. — Vol. 3, No. 7. — RESEARCH0034.</w:t>
      </w:r>
    </w:p>
    <w:p>
      <w:pPr>
        <w:numPr>
          <w:ilvl w:val="0"/>
          <w:numId w:val="3"/>
        </w:numPr>
        <w:jc w:val="both"/>
        <w:spacing w:after="60" w:line="312" w:lineRule="auto"/>
        <w:ind w:left="567" w:hanging="567"/>
      </w:pPr>
      <w:r>
        <w:rPr>
          <w:rFonts w:ascii="Times New Roman" w:hAnsi="Times New Roman" w:cs="Times New Roman"/>
          <w:sz w:val="26"/>
          <w:szCs w:val="26"/>
        </w:rPr>
        <w:t xml:space="preserve">Hindson B. J. et al. High-throughput droplet digital PCR system for absolute quantitation of DNA copy number // Analytical Chemistry. — 2011. — Vol. 83, No. 22. — P. 8604–8610.</w:t>
      </w:r>
    </w:p>
    <w:p>
      <w:pPr>
        <w:numPr>
          <w:ilvl w:val="0"/>
          <w:numId w:val="3"/>
        </w:numPr>
        <w:jc w:val="both"/>
        <w:spacing w:after="60" w:line="312" w:lineRule="auto"/>
        <w:ind w:left="567" w:hanging="567"/>
      </w:pPr>
      <w:r>
        <w:rPr>
          <w:rFonts w:ascii="Times New Roman" w:hAnsi="Times New Roman" w:cs="Times New Roman"/>
          <w:sz w:val="26"/>
          <w:szCs w:val="26"/>
        </w:rPr>
        <w:t xml:space="preserve">Wittwer C. T. et al. Continuous fluorescence monitoring of rapid cycle DNA amplification // BioTechniques. — 1997. — Vol. 22, No. 1. — P. 130–138.</w:t>
      </w:r>
    </w:p>
    <w:p>
      <w:pPr>
        <w:numPr>
          <w:ilvl w:val="0"/>
          <w:numId w:val="3"/>
        </w:numPr>
        <w:jc w:val="both"/>
        <w:spacing w:after="60" w:line="312" w:lineRule="auto"/>
        <w:ind w:left="567" w:hanging="567"/>
      </w:pPr>
      <w:r>
        <w:rPr>
          <w:rFonts w:ascii="Times New Roman" w:hAnsi="Times New Roman" w:cs="Times New Roman"/>
          <w:sz w:val="26"/>
          <w:szCs w:val="26"/>
        </w:rPr>
        <w:t xml:space="preserve">Ririe K. M., Rasmussen R. P., Wittwer C. T. Product differentiation by analysis of DNA melting curves during the polymerase chain reaction // Analytical Biochemistry. — 1997. — Vol. 245, No. 2. — P. 154–160.</w:t>
      </w:r>
    </w:p>
    <w:p>
      <w:pPr>
        <w:numPr>
          <w:ilvl w:val="0"/>
          <w:numId w:val="3"/>
        </w:numPr>
        <w:jc w:val="both"/>
        <w:spacing w:after="60" w:line="312" w:lineRule="auto"/>
        <w:ind w:left="567" w:hanging="567"/>
      </w:pPr>
      <w:r>
        <w:rPr>
          <w:rFonts w:ascii="Times New Roman" w:hAnsi="Times New Roman" w:cs="Times New Roman"/>
          <w:sz w:val="26"/>
          <w:szCs w:val="26"/>
        </w:rPr>
        <w:t xml:space="preserve">Untergasser A. et al. Primer3 — new capabilities and interfaces // Nucleic Acids Research. — 2012. — Vol. 40, No. 15. — Art. e115.</w:t>
      </w:r>
    </w:p>
    <w:p>
      <w:pPr>
        <w:numPr>
          <w:ilvl w:val="0"/>
          <w:numId w:val="3"/>
        </w:numPr>
        <w:jc w:val="both"/>
        <w:spacing w:after="60" w:line="312" w:lineRule="auto"/>
        <w:ind w:left="567" w:hanging="567"/>
      </w:pPr>
      <w:r>
        <w:rPr>
          <w:rFonts w:ascii="Times New Roman" w:hAnsi="Times New Roman" w:cs="Times New Roman"/>
          <w:sz w:val="26"/>
          <w:szCs w:val="26"/>
        </w:rPr>
        <w:t xml:space="preserve">Rozen S., Skaletsky H. Primer3 on the WWW for general users and for biologist programmers // Methods in Molecular Biology. — 2000. — Vol. 132. — P. 365–386.</w:t>
      </w:r>
    </w:p>
    <w:p>
      <w:pPr>
        <w:numPr>
          <w:ilvl w:val="0"/>
          <w:numId w:val="3"/>
        </w:numPr>
        <w:jc w:val="both"/>
        <w:spacing w:after="60" w:line="312" w:lineRule="auto"/>
        <w:ind w:left="567" w:hanging="567"/>
      </w:pPr>
      <w:r>
        <w:rPr>
          <w:rFonts w:ascii="Times New Roman" w:hAnsi="Times New Roman" w:cs="Times New Roman"/>
          <w:sz w:val="26"/>
          <w:szCs w:val="26"/>
        </w:rPr>
        <w:t xml:space="preserve">SantaLucia J. Jr. A unified view of polymer, dumbbell, and oligonucleotide DNA nearest-neighbor thermodynamics // Proceedings of the National Academy of Sciences USA. — 1998. — Vol. 95, No. 4. — P. 1460–1465.</w:t>
      </w:r>
    </w:p>
    <w:p>
      <w:pPr>
        <w:numPr>
          <w:ilvl w:val="0"/>
          <w:numId w:val="3"/>
        </w:numPr>
        <w:jc w:val="both"/>
        <w:spacing w:after="60" w:line="312" w:lineRule="auto"/>
        <w:ind w:left="567" w:hanging="567"/>
      </w:pPr>
      <w:r>
        <w:rPr>
          <w:rFonts w:ascii="Times New Roman" w:hAnsi="Times New Roman" w:cs="Times New Roman"/>
          <w:sz w:val="26"/>
          <w:szCs w:val="26"/>
        </w:rPr>
        <w:t xml:space="preserve">Dieffenbach C. W., Lowe T. M., Dveksler G. S. General concepts for PCR primer design // PCR Methods and Applications. — 1993. — Vol. 3, No. 3. — P. S30–S37.</w:t>
      </w:r>
    </w:p>
    <w:p>
      <w:pPr>
        <w:numPr>
          <w:ilvl w:val="0"/>
          <w:numId w:val="3"/>
        </w:numPr>
        <w:jc w:val="both"/>
        <w:spacing w:after="60" w:line="312" w:lineRule="auto"/>
        <w:ind w:left="567" w:hanging="567"/>
      </w:pPr>
      <w:r>
        <w:rPr>
          <w:rFonts w:ascii="Times New Roman" w:hAnsi="Times New Roman" w:cs="Times New Roman"/>
          <w:sz w:val="26"/>
          <w:szCs w:val="26"/>
        </w:rPr>
        <w:t xml:space="preserve">Bennett C. F., Swayze E. E. RNA targeting therapeutics: molecular mechanisms of antisense oligonucleotides // Annual Review of Pharmacology and Toxicology. — 2010. — Vol. 50. — P. 259–293.</w:t>
      </w:r>
    </w:p>
    <w:p>
      <w:pPr>
        <w:numPr>
          <w:ilvl w:val="0"/>
          <w:numId w:val="3"/>
        </w:numPr>
        <w:jc w:val="both"/>
        <w:spacing w:after="60" w:line="312" w:lineRule="auto"/>
        <w:ind w:left="567" w:hanging="567"/>
      </w:pPr>
      <w:r>
        <w:rPr>
          <w:rFonts w:ascii="Times New Roman" w:hAnsi="Times New Roman" w:cs="Times New Roman"/>
          <w:sz w:val="26"/>
          <w:szCs w:val="26"/>
        </w:rPr>
        <w:t xml:space="preserve">Mullis K. B. The unusual origin of the polymerase chain reaction // Scientific American. — 1990. — Vol. 262, No. 4. — P. 56–65.</w:t>
      </w:r>
    </w:p>
    <w:p>
      <w:pPr>
        <w:numPr>
          <w:ilvl w:val="0"/>
          <w:numId w:val="3"/>
        </w:numPr>
        <w:jc w:val="both"/>
        <w:spacing w:after="60" w:line="312" w:lineRule="auto"/>
        <w:ind w:left="567" w:hanging="567"/>
      </w:pPr>
      <w:r>
        <w:rPr>
          <w:rFonts w:ascii="Times New Roman" w:hAnsi="Times New Roman" w:cs="Times New Roman"/>
          <w:sz w:val="26"/>
          <w:szCs w:val="26"/>
        </w:rPr>
        <w:t xml:space="preserve">Глик Б., Пастернак Дж. Молекулярная биотехнология. Принципы и применение / пер. с англ. — М.: Мир, 2002. — 589 с.</w:t>
      </w:r>
    </w:p>
    <w:p>
      <w:pPr>
        <w:numPr>
          <w:ilvl w:val="0"/>
          <w:numId w:val="3"/>
        </w:numPr>
        <w:jc w:val="both"/>
        <w:spacing w:after="60" w:line="312" w:lineRule="auto"/>
        <w:ind w:left="567" w:hanging="567"/>
      </w:pPr>
      <w:r>
        <w:rPr>
          <w:rFonts w:ascii="Times New Roman" w:hAnsi="Times New Roman" w:cs="Times New Roman"/>
          <w:sz w:val="26"/>
          <w:szCs w:val="26"/>
        </w:rPr>
        <w:t xml:space="preserve">Ребриков Д. В., Саматов Г. А., Трофимов Д. Ю. и др. ПЦР «в реальном времени». — М.: БИНОМ. Лаборатория знаний, 2009. — 223 с.</w:t>
      </w:r>
    </w:p>
    <w:p>
      <w:pPr>
        <w:numPr>
          <w:ilvl w:val="0"/>
          <w:numId w:val="3"/>
        </w:numPr>
        <w:jc w:val="both"/>
        <w:spacing w:after="60" w:line="312" w:lineRule="auto"/>
        <w:ind w:left="567" w:hanging="567"/>
      </w:pPr>
      <w:r>
        <w:rPr>
          <w:rFonts w:ascii="Times New Roman" w:hAnsi="Times New Roman" w:cs="Times New Roman"/>
          <w:sz w:val="26"/>
          <w:szCs w:val="26"/>
        </w:rPr>
        <w:t xml:space="preserve">Патрушев Л. И. Экспрессия генов. — М.: Наука, 2000. — 830 с.</w:t>
      </w:r>
    </w:p>
    <w:p>
      <w:pPr>
        <w:numPr>
          <w:ilvl w:val="0"/>
          <w:numId w:val="3"/>
        </w:numPr>
        <w:jc w:val="both"/>
        <w:spacing w:after="60" w:line="312" w:lineRule="auto"/>
        <w:ind w:left="567" w:hanging="567"/>
      </w:pPr>
      <w:r>
        <w:rPr>
          <w:rFonts w:ascii="Times New Roman" w:hAnsi="Times New Roman" w:cs="Times New Roman"/>
          <w:sz w:val="26"/>
          <w:szCs w:val="26"/>
        </w:rPr>
        <w:t xml:space="preserve">Щелкунов С. Н. Генетическая инженерия. — Новосибирск: Сибирское университетское издательство, 2008. — 514 с.</w:t>
      </w:r>
    </w:p>
    <w:sectPr>
      <w:footerReference w:type="default" r:id="rId4"/>
      <w:pgSz w:w="11906" w:h="16838"/>
      <w:pgMar w:top="1134" w:right="850" w:bottom="1134" w:left="1701" w:header="720" w:footer="720" w:gutter="0"/>
      <w:pgNumType w:start="1"/>
    </w:sectPr>
  </w:body>
</w:document>
</file>

<file path=word/footer1.xml><?xml version="1.0" encoding="utf-8"?>
<w:ftr xmlns:w="http://schemas.openxmlformats.org/wordprocessingml/2006/main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rPr>
        <w:rFonts w:ascii="Times New Roman" w:hAnsi="Times New Roman"/>
        <w:sz w:val="24"/>
      </w:rPr>
      <w:instrText xml:space="preserve"> PAGE </w:instrText>
    </w:r>
    <w:r>
      <w:rPr>
        <w:rFonts w:ascii="Times New Roman" w:hAnsi="Times New Roman"/>
        <w:sz w:val="24"/>
      </w:rPr>
      <w:fldChar w:fldCharType="end"/>
    </w:r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—"/>
      <w:lvlJc w:val="left"/>
      <w:pPr>
        <w:ind w:left="720" w:hanging="360"/>
      </w:pPr>
      <w:rPr>
        <w:rFonts w:ascii="Times New Roman" w:hAnsi="Times New Roman"/>
      </w:rPr>
    </w:lvl>
  </w:abstractNum>
  <w:abstractNum w:abstractNumId="1">
    <w:lvl w:ilvl="0">
      <w:start w:val="1"/>
      <w:numFmt w:val="decimal"/>
      <w:lvlText w:val="%1)"/>
      <w:lvlJc w:val="left"/>
      <w:pPr>
        <w:ind w:left="720" w:hanging="360"/>
      </w:pPr>
    </w:lvl>
  </w:abstractNum>
  <w:abstractNum w:abstractNumId="2">
    <w:lvl w:ilvl="0">
      <w:start w:val="1"/>
      <w:numFmt w:val="decimal"/>
      <w:lvlText w:val="%1."/>
      <w:lvlJc w:val="left"/>
      <w:pPr>
        <w:ind w:left="567" w:hanging="567"/>
      </w:pPr>
      <w:rPr>
        <w:rFonts w:ascii="Times New Roman" w:hAnsi="Times New Roman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>
  <w:updateFields w:val="true"/>
  <w:defaultTabStop w:val="708"/>
  <w:characterSpacingControl w:val="doNotCompress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8"/>
        <w:szCs w:val="28"/>
        <w:lang w:val="ru-RU"/>
      </w:rPr>
    </w:rPrDefault>
    <w:pPrDefault>
      <w:pPr>
        <w:spacing w:line="360" w:lineRule="auto"/>
      </w:pPr>
    </w:pPrDefault>
  </w:docDefaults>
  <w:style w:type="paragraph" w:default="1" w:styleId="Normal">
    <w:name w:val="Normal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i/>
      <w:sz w:val="28"/>
    </w:rPr>
  </w:style>
  <w:style w:type="paragraph" w:styleId="TOC1">
    <w:name w:val="toc 1"/>
    <w:basedOn w:val="Normal"/>
    <w:pPr>
      <w:spacing w:after="60"/>
    </w:pPr>
  </w:style>
  <w:style w:type="paragraph" w:styleId="TOC2">
    <w:name w:val="toc 2"/>
    <w:basedOn w:val="Normal"/>
    <w:pPr>
      <w:ind w:left="240"/>
      <w:spacing w:after="60"/>
    </w:pPr>
  </w:style>
  <w:style w:type="paragraph" w:styleId="TOC3">
    <w:name w:val="toc 3"/>
    <w:basedOn w:val="Normal"/>
    <w:pPr>
      <w:ind w:left="480"/>
      <w:spacing w:after="60"/>
    </w:pPr>
  </w:style>
  <w:style w:type="paragraph" w:styleId="ListParagraph">
    <w:name w:val="List Paragraph"/>
    <w:basedOn w:val="Normal"/>
    <w:pPr>
      <w:ind w:left="720"/>
    </w:pPr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ВКР: синтез олигонуклеотидов и анализ экспрессии гена TOP2A</dc:title>
  <dc:creator>Студент</dc:creator>
  <cp:lastModifiedBy>Студент</cp:lastModifiedBy>
  <dcterms:created xsi:type="dcterms:W3CDTF">2026-06-12T11:56:00Z</dcterms:created>
  <dcterms:modified xsi:type="dcterms:W3CDTF">2026-06-12T11:56:00Z</dcterms:modified>
</cp:coreProperties>
</file>