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after="0" w:line="360" w:lineRule="auto"/>
      </w:pPr>
      <w:r>
        <w:rPr>
          <w:rFonts w:ascii="Times New Roman" w:hAnsi="Times New Roman" w:cs="Times New Roman"/>
          <w:b/>
          <w:sz w:val="32"/>
          <w:szCs w:val="32"/>
        </w:rPr>
        <w:t xml:space="preserve">РЕЦЕНЗИЯ</w:t>
      </w:r>
    </w:p>
    <w:p>
      <w:pPr>
        <w:jc w:val="center"/>
        <w:spacing w:after="0" w:line="360" w:lineRule="auto"/>
      </w:pPr>
      <w:r>
        <w:rPr>
          <w:rFonts w:ascii="Times New Roman" w:hAnsi="Times New Roman" w:cs="Times New Roman"/>
          <w:b/>
          <w:sz w:val="26"/>
          <w:szCs w:val="26"/>
        </w:rPr>
        <w:t xml:space="preserve">на выпускную квалификационную работу обучающегося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Обучающийся: 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 (Ф.И.О.)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Тема работы: </w:t>
      </w:r>
      <w:r>
        <w:rPr>
          <w:rFonts w:ascii="Times New Roman" w:hAnsi="Times New Roman" w:cs="Times New Roman"/>
          <w:sz w:val="28"/>
          <w:szCs w:val="28"/>
        </w:rPr>
        <w:t xml:space="preserve">«Синтез олигонуклеотидов фосфорамидитным методом и анализ экспрессии гена TOP2A человека методом полимеразной цепной реакции».</w:t>
      </w:r>
    </w:p>
    <w:p>
      <w:pPr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Оценка разделов выпускной квалификационной работы в баллах: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0"/>
        <w:gridCol w:w="5100"/>
        <w:gridCol w:w="1750"/>
        <w:gridCol w:w="1750"/>
      </w:tblGrid>
      <w:tr>
        <w:tc>
          <w:tcPr>
            <w:tcW w:w="7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</w:t>
            </w:r>
          </w:p>
        </w:tc>
        <w:tc>
          <w:tcPr>
            <w:tcW w:w="510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Разделы работы</w:t>
            </w:r>
          </w:p>
        </w:tc>
        <w:tc>
          <w:tcPr>
            <w:tcW w:w="175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Баллов (макс.)</w:t>
            </w:r>
          </w:p>
        </w:tc>
        <w:tc>
          <w:tcPr>
            <w:tcW w:w="1750" w:type="dxa"/>
            <w:shd w:val="clear" w:color="auto" w:fill="D9E2F3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Баллов (факт.)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51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Аналитический обзор литературы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34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51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Экспериментальная часть, анализ результатов, выводы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33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51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Язык изложения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51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Оформление ВКР (в т. ч. соответствие ГОСТ)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510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Сумма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100</w:t>
            </w:r>
          </w:p>
        </w:tc>
        <w:tc>
          <w:tcPr>
            <w:tcW w:w="1750" w:type="dxa"/>
            <w:vAlign w:val="center"/>
          </w:tcPr>
          <w:p>
            <w:pPr>
              <w:jc w:val="center"/>
              <w:spacing w:after="4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96</w:t>
            </w:r>
          </w:p>
        </w:tc>
      </w:tr>
    </w:tbl>
    <w:p>
      <w:pPr>
        <w:spacing w:after="120"/>
      </w:pPr>
    </w:p>
    <w:p>
      <w:pPr>
        <w:spacing w:after="0" w:line="360" w:lineRule="auto"/>
      </w:pPr>
      <w:r>
        <w:rPr>
          <w:rFonts w:ascii="Times New Roman" w:hAnsi="Times New Roman" w:cs="Times New Roman"/>
          <w:i/>
          <w:sz w:val="24"/>
          <w:szCs w:val="24"/>
        </w:rPr>
        <w:t xml:space="preserve">50–69 (удовлетворительно); 70–84 (хорошо); 85–100 (отлично).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Принципиальные замечания по работе, включая перечень сформированных компетенций.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посвящена актуальной задаче молекулярной биологии и биомедицины — обоснованию технологии химического синтеза олигонуклеотидов и разработке алгоритма анализа экспрессии гена TOP2A человека методом полимеразной цепной реакции. Тема имеет несомненную теоретическую и практическую значимость, поскольку ген TOP2A признан важным прогностическим и предсказательным биомаркером в онкологии, а качество синтезированных праймеров напрямую определяет достоверность молекулярно-генетической диагностики.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Работа отличается логичной структурой и последовательным изложением. В аналитическом обзоре литературы автор системно рассматривает три взаимосвязанных блока: теоретические основы твердофазного фосфорамидитного синтеза, структурно-функциональную организацию гена TOP2A и методологию полимеразной цепной реакции. Материал изложен грамотно, с опорой на обширный список современных источников, что свидетельствует о хорошем владении научной литературой и умении обобщать данные.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экспериментальной части представлены продуманный биоинформатический подбор специфичных праймеров на стыке экзонов, протокол синтеза и очистки олигонуклеотидов, а также методика количественной ОТ-ПЦР с корректной нормировкой результатов. Сформулированные рекомендации по обеспечению воспроизводимости анализа подтверждают практическую направленность работы и самостоятельность автора при обработке и интерпретации данных.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 качестве замечаний можно отметить следующее. </w:t>
      </w:r>
      <w:r>
        <w:rPr>
          <w:rFonts w:ascii="Times New Roman" w:hAnsi="Times New Roman" w:cs="Times New Roman"/>
          <w:sz w:val="28"/>
          <w:szCs w:val="28"/>
        </w:rPr>
        <w:t xml:space="preserve">В обзоре литературы целесообразно было бы дополнительно рассмотреть отдельные современные зарубежные исследования по модифицированным олигонуклеотидам и сравнить их с классическим фосфорамидитным подходом. Представляет интерес дальнейшее изучение применимости предложенного алгоритма к смежным генам-мишеням. Отмеченные замечания не снижают общей высокой оценки работы и носят рекомендательный характер.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Выпускная квалификационная работа сформирована в соответствии с компетенциями, предусмотренными основной образовательной программой. Обучающийся продемонстрировал высокий уровень теоретической и практической подготовки, навыки самостоятельного проведения литературно-аналитического исследования, корректной обработки результатов и представления научных данных, а также способность к обоснованным выводам. Работа оформлена аккуратно, в соответствии с требованиями ГОСТ; язык изложения научный, ясный и грамотный.</w:t>
      </w:r>
    </w:p>
    <w:p>
      <w:pPr>
        <w:jc w:val="both"/>
        <w:ind w:firstLine="709"/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Работа заслуживает оценки «отлично» (96 баллов), а её автор — присвоения квалификации бакалавра.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Рецензент:</w:t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 (должность, учёная степень, звание)</w:t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 (место работы)</w:t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_______________________________________________ (Ф.И.О.)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Подпись ________________            Дата «____» __________ 20___ г.</w:t>
      </w:r>
    </w:p>
    <w:p>
      <w:pPr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after="0"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М.П.</w:t>
      </w:r>
    </w:p>
    <w:sectPr>
      <w:footerReference w:type="default" r:id="rId4"/>
      <w:pgSz w:w="11906" w:h="16838"/>
      <w:pgMar w:top="1134" w:right="850" w:bottom="1134" w:left="1701" w:header="720" w:footer="720" w:gutter="0"/>
      <w:pgNumType w:start="1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/>
      </w:rPr>
    </w:lvl>
  </w:abstractNum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decimal"/>
      <w:lvlText w:val="%1."/>
      <w:lvlJc w:val="left"/>
      <w:pPr>
        <w:ind w:left="567" w:hanging="567"/>
      </w:pPr>
      <w:rPr>
        <w:rFonts w:ascii="Times New Roman" w:hAnsi="Times New Roman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updateFields w:val="true"/>
  <w:defaultTabStop w:val="708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line="360" w:lineRule="auto"/>
      </w:pPr>
    </w:pPrDefault>
  </w:docDefaults>
  <w:style w:type="paragraph" w:default="1" w:styleId="Normal">
    <w:name w:val="Normal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i/>
      <w:sz w:val="28"/>
    </w:rPr>
  </w:style>
  <w:style w:type="paragraph" w:styleId="TOC1">
    <w:name w:val="toc 1"/>
    <w:basedOn w:val="Normal"/>
    <w:pPr>
      <w:spacing w:after="60"/>
    </w:pPr>
  </w:style>
  <w:style w:type="paragraph" w:styleId="TOC2">
    <w:name w:val="toc 2"/>
    <w:basedOn w:val="Normal"/>
    <w:pPr>
      <w:ind w:left="240"/>
      <w:spacing w:after="60"/>
    </w:pPr>
  </w:style>
  <w:style w:type="paragraph" w:styleId="TOC3">
    <w:name w:val="toc 3"/>
    <w:basedOn w:val="Normal"/>
    <w:pPr>
      <w:ind w:left="480"/>
      <w:spacing w:after="60"/>
    </w:p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Рецензия на ВКР по теме синтеза олигонуклеотидов и гена TOP2A</dc:title>
  <dc:creator>Рецензент</dc:creator>
  <cp:lastModifiedBy>Рецензент</cp:lastModifiedBy>
  <dcterms:created xsi:type="dcterms:W3CDTF">2026-06-12T11:19:33Z</dcterms:created>
  <dcterms:modified xsi:type="dcterms:W3CDTF">2026-06-12T11:19:33Z</dcterms:modified>
</cp:coreProperties>
</file>